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9A672" w14:textId="77777777" w:rsidR="00FF5E02" w:rsidRPr="00FF5E02" w:rsidRDefault="00FF5E02" w:rsidP="00FF5E02">
      <w:pPr>
        <w:spacing w:after="0" w:line="240" w:lineRule="auto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  <w:r w:rsidRPr="00FF5E02">
        <w:rPr>
          <w:rFonts w:ascii="Times New Roman" w:hAnsi="Times New Roman" w:cs="Times New Roman"/>
          <w:smallCaps/>
          <w:color w:val="5A5A5A" w:themeColor="text1" w:themeTint="A5"/>
          <w:lang w:val="en-GB"/>
        </w:rPr>
        <w:t>Academic course description</w:t>
      </w:r>
    </w:p>
    <w:p w14:paraId="66E34FC2" w14:textId="77777777" w:rsidR="00FF5E02" w:rsidRPr="00FF5E02" w:rsidRDefault="00FF5E02" w:rsidP="00FF5E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FF5E02" w:rsidRPr="00FF5E02" w14:paraId="534E43E8" w14:textId="77777777" w:rsidTr="00BE4E7B">
        <w:tc>
          <w:tcPr>
            <w:tcW w:w="9209" w:type="dxa"/>
            <w:shd w:val="clear" w:color="auto" w:fill="A6A6A6" w:themeFill="background1" w:themeFillShade="A6"/>
          </w:tcPr>
          <w:p w14:paraId="3977B858" w14:textId="77777777" w:rsidR="00FF5E02" w:rsidRPr="00FF5E02" w:rsidRDefault="00FF5E02" w:rsidP="00FF5E0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FFFF" w:themeColor="background1"/>
              </w:rPr>
            </w:pPr>
            <w:r w:rsidRPr="00FF5E02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>BACHELOR ’S PROGRAMME</w:t>
            </w:r>
            <w:r w:rsidRPr="00FF5E02">
              <w:rPr>
                <w:rFonts w:ascii="Times New Roman" w:eastAsiaTheme="majorEastAsia" w:hAnsi="Times New Roman" w:cs="Times New Roman"/>
                <w:b/>
                <w:smallCaps/>
                <w:color w:val="FFFFFF" w:themeColor="background1"/>
              </w:rPr>
              <w:t xml:space="preserve"> </w:t>
            </w:r>
          </w:p>
          <w:p w14:paraId="40E7CCE7" w14:textId="490043F7" w:rsidR="00FF5E02" w:rsidRPr="006C7CFC" w:rsidRDefault="0038506A" w:rsidP="00FF5E0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  <w:r w:rsidRPr="006C7CFC">
              <w:rPr>
                <w:rFonts w:ascii="Times New Roman" w:eastAsiaTheme="majorEastAsia" w:hAnsi="Times New Roman" w:cs="Times New Roman"/>
                <w:b/>
                <w:smallCaps/>
                <w:color w:val="FF0000"/>
                <w:sz w:val="24"/>
                <w:szCs w:val="24"/>
              </w:rPr>
              <w:t>AMERICA</w:t>
            </w:r>
            <w:r w:rsidR="006C7CFC">
              <w:rPr>
                <w:rFonts w:ascii="Times New Roman" w:eastAsiaTheme="majorEastAsia" w:hAnsi="Times New Roman" w:cs="Times New Roman"/>
                <w:b/>
                <w:smallCaps/>
                <w:color w:val="FF0000"/>
                <w:sz w:val="24"/>
                <w:szCs w:val="24"/>
              </w:rPr>
              <w:t>N STUDIES</w:t>
            </w:r>
            <w:bookmarkStart w:id="0" w:name="_GoBack"/>
            <w:bookmarkEnd w:id="0"/>
          </w:p>
          <w:p w14:paraId="17AC97F5" w14:textId="77777777" w:rsidR="00FF5E02" w:rsidRPr="00FF5E02" w:rsidRDefault="00FF5E02" w:rsidP="00FF5E02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365F91" w:themeColor="accent1" w:themeShade="BF"/>
              </w:rPr>
            </w:pPr>
            <w:r w:rsidRPr="00FF5E02">
              <w:rPr>
                <w:rFonts w:ascii="Times New Roman" w:eastAsiaTheme="majorEastAsia" w:hAnsi="Times New Roman" w:cs="Times New Roman"/>
                <w:smallCaps/>
                <w:color w:val="FF0000"/>
              </w:rPr>
              <w:t>3</w:t>
            </w:r>
            <w:r w:rsidRPr="00FF5E02">
              <w:rPr>
                <w:rFonts w:ascii="Times New Roman" w:eastAsiaTheme="majorEastAsia" w:hAnsi="Times New Roman" w:cs="Times New Roman"/>
                <w:smallCaps/>
                <w:color w:val="FF0000"/>
                <w:vertAlign w:val="superscript"/>
              </w:rPr>
              <w:t>rd</w:t>
            </w:r>
            <w:r w:rsidRPr="00FF5E02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Pr="00FF5E02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YEAR OF STUDY, </w:t>
            </w:r>
            <w:r w:rsidRPr="00FF5E02">
              <w:rPr>
                <w:rFonts w:ascii="Times New Roman" w:eastAsiaTheme="majorEastAsia" w:hAnsi="Times New Roman" w:cs="Times New Roman"/>
                <w:smallCaps/>
                <w:color w:val="FF0000"/>
              </w:rPr>
              <w:t>1</w:t>
            </w:r>
            <w:r w:rsidRPr="00FF5E02">
              <w:rPr>
                <w:rFonts w:ascii="Times New Roman" w:eastAsiaTheme="majorEastAsia" w:hAnsi="Times New Roman" w:cs="Times New Roman"/>
                <w:smallCaps/>
                <w:color w:val="FF0000"/>
                <w:vertAlign w:val="superscript"/>
              </w:rPr>
              <w:t>st</w:t>
            </w:r>
            <w:r w:rsidRPr="00FF5E02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Pr="00FF5E02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 SEMESTER</w:t>
            </w:r>
          </w:p>
        </w:tc>
      </w:tr>
    </w:tbl>
    <w:p w14:paraId="7C8FF411" w14:textId="77777777" w:rsidR="00FF5E02" w:rsidRPr="00FF5E02" w:rsidRDefault="00FF5E02" w:rsidP="00FF5E02">
      <w:pPr>
        <w:spacing w:after="0" w:line="240" w:lineRule="auto"/>
        <w:jc w:val="both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FF5E02" w:rsidRPr="00FF5E02" w14:paraId="0ADDDA5F" w14:textId="77777777" w:rsidTr="00BE4E7B">
        <w:tc>
          <w:tcPr>
            <w:tcW w:w="2972" w:type="dxa"/>
            <w:gridSpan w:val="2"/>
            <w:shd w:val="clear" w:color="auto" w:fill="A6A6A6" w:themeFill="background1" w:themeFillShade="A6"/>
          </w:tcPr>
          <w:p w14:paraId="399339BF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01B1ABE" w14:textId="77777777" w:rsidR="00FF5E02" w:rsidRPr="00FF5E02" w:rsidRDefault="0038506A" w:rsidP="00FF5E02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AMERICAN</w:t>
            </w:r>
            <w:r w:rsidR="00091C64"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 MODERNISM</w:t>
            </w:r>
          </w:p>
        </w:tc>
      </w:tr>
      <w:tr w:rsidR="00FF5E02" w:rsidRPr="00FF5E02" w14:paraId="1F03A61D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0F1ED6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B1EFE03" w14:textId="77777777" w:rsidR="00FF5E02" w:rsidRPr="00FF5E02" w:rsidRDefault="000C47F2" w:rsidP="00FF5E0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SA2151</w:t>
            </w:r>
            <w:r w:rsidR="000B367A">
              <w:rPr>
                <w:rFonts w:ascii="Times New Roman" w:hAnsi="Times New Roman" w:cs="Times New Roman"/>
              </w:rPr>
              <w:t xml:space="preserve"> (American Studies)</w:t>
            </w:r>
          </w:p>
        </w:tc>
      </w:tr>
      <w:tr w:rsidR="00FF5E02" w:rsidRPr="00FF5E02" w14:paraId="38C9A80C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A086519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1B639F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color w:val="FF0000"/>
              </w:rPr>
              <w:t>full attendance</w:t>
            </w:r>
          </w:p>
        </w:tc>
      </w:tr>
      <w:tr w:rsidR="00FF5E02" w:rsidRPr="00FF5E02" w14:paraId="755A2BEF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B40B3AB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3982C2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FF5E02">
              <w:rPr>
                <w:rFonts w:ascii="Times New Roman" w:hAnsi="Times New Roman" w:cs="Times New Roman"/>
                <w:color w:val="FF0000"/>
                <w:lang w:val="fr-FR"/>
              </w:rPr>
              <w:t>1st</w:t>
            </w:r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cycle (</w:t>
            </w:r>
            <w:proofErr w:type="spellStart"/>
            <w:r w:rsidRPr="00FF5E02">
              <w:rPr>
                <w:rFonts w:ascii="Times New Roman" w:hAnsi="Times New Roman" w:cs="Times New Roman"/>
                <w:color w:val="FF0000"/>
                <w:lang w:val="fr-FR"/>
              </w:rPr>
              <w:t>bachelor</w:t>
            </w:r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>’s</w:t>
            </w:r>
            <w:proofErr w:type="spellEnd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>degree</w:t>
            </w:r>
            <w:proofErr w:type="spellEnd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>)</w:t>
            </w:r>
          </w:p>
        </w:tc>
      </w:tr>
      <w:tr w:rsidR="00FF5E02" w:rsidRPr="00FF5E02" w14:paraId="438D760B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F54598D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1FC3517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color w:val="FF0000"/>
              </w:rPr>
              <w:t>3</w:t>
            </w:r>
            <w:r w:rsidRPr="00FF5E02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 w:rsidRPr="00FF5E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5E02">
              <w:rPr>
                <w:rFonts w:ascii="Times New Roman" w:hAnsi="Times New Roman" w:cs="Times New Roman"/>
                <w:color w:val="000000" w:themeColor="text1"/>
              </w:rPr>
              <w:t>year of study,</w:t>
            </w:r>
            <w:r w:rsidRPr="00FF5E02">
              <w:rPr>
                <w:rFonts w:ascii="Times New Roman" w:hAnsi="Times New Roman" w:cs="Times New Roman"/>
                <w:color w:val="FF0000"/>
              </w:rPr>
              <w:t xml:space="preserve"> 1st </w:t>
            </w:r>
            <w:r w:rsidRPr="00FF5E02">
              <w:rPr>
                <w:rFonts w:ascii="Times New Roman" w:hAnsi="Times New Roman" w:cs="Times New Roman"/>
                <w:color w:val="000000" w:themeColor="text1"/>
              </w:rPr>
              <w:t>semester</w:t>
            </w:r>
          </w:p>
        </w:tc>
      </w:tr>
      <w:tr w:rsidR="00FF5E02" w:rsidRPr="00FF5E02" w14:paraId="7ECBB737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4F650CD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88699EC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FF5E02" w:rsidRPr="00FF5E02" w14:paraId="5D31A88D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40B9EE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29D088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color w:val="FF0000"/>
              </w:rPr>
              <w:t>4</w:t>
            </w:r>
            <w:r w:rsidRPr="00FF5E0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FF5E02">
              <w:rPr>
                <w:rFonts w:ascii="Times New Roman" w:hAnsi="Times New Roman" w:cs="Times New Roman"/>
                <w:color w:val="FF0000"/>
              </w:rPr>
              <w:t>2</w:t>
            </w:r>
            <w:r w:rsidRPr="00FF5E02">
              <w:rPr>
                <w:rFonts w:ascii="Times New Roman" w:hAnsi="Times New Roman" w:cs="Times New Roman"/>
                <w:color w:val="000000" w:themeColor="text1"/>
              </w:rPr>
              <w:t xml:space="preserve"> lecture hours + 2 seminar hours)</w:t>
            </w:r>
          </w:p>
        </w:tc>
      </w:tr>
      <w:tr w:rsidR="00FF5E02" w:rsidRPr="00FF5E02" w14:paraId="10D75DF4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51C1D6F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A220F6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>Dana BADULESCU</w:t>
            </w:r>
          </w:p>
        </w:tc>
      </w:tr>
      <w:tr w:rsidR="00FF5E02" w:rsidRPr="00FF5E02" w14:paraId="6C0689E2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13C124A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89660A5" w14:textId="77777777" w:rsidR="00FF5E02" w:rsidRPr="00FF5E02" w:rsidRDefault="000B367A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Lorelei CARAMAN </w:t>
            </w:r>
          </w:p>
        </w:tc>
      </w:tr>
      <w:tr w:rsidR="00FF5E02" w:rsidRPr="00FF5E02" w14:paraId="178D0A32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1E48B2D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7BC22BA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color w:val="FF0000"/>
              </w:rPr>
              <w:t xml:space="preserve">B2 (and above) level of English </w:t>
            </w:r>
          </w:p>
        </w:tc>
      </w:tr>
      <w:tr w:rsidR="00FF5E02" w:rsidRPr="00FF5E02" w14:paraId="58F91BB6" w14:textId="77777777" w:rsidTr="00BE4E7B">
        <w:tc>
          <w:tcPr>
            <w:tcW w:w="562" w:type="dxa"/>
            <w:shd w:val="clear" w:color="auto" w:fill="A6A6A6" w:themeFill="background1" w:themeFillShade="A6"/>
          </w:tcPr>
          <w:p w14:paraId="18CCE4BA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smallCaps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76F6EC4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General and course-specific competences</w:t>
            </w:r>
          </w:p>
        </w:tc>
      </w:tr>
      <w:tr w:rsidR="00FF5E02" w:rsidRPr="00FF5E02" w14:paraId="08D4278C" w14:textId="77777777" w:rsidTr="00BE4E7B">
        <w:tc>
          <w:tcPr>
            <w:tcW w:w="562" w:type="dxa"/>
            <w:shd w:val="clear" w:color="auto" w:fill="F2F2F2" w:themeFill="background1" w:themeFillShade="F2"/>
          </w:tcPr>
          <w:p w14:paraId="67A8EC08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673E3B8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  <w:b/>
              </w:rPr>
              <w:t>General competences</w:t>
            </w:r>
            <w:r w:rsidRPr="00FF5E02">
              <w:rPr>
                <w:rFonts w:ascii="Times New Roman" w:hAnsi="Times New Roman" w:cs="Times New Roman"/>
              </w:rPr>
              <w:t>:</w:t>
            </w:r>
          </w:p>
          <w:p w14:paraId="36F3EA81" w14:textId="7F927839" w:rsidR="00FF5E02" w:rsidRPr="00FF5E02" w:rsidRDefault="00062DAE" w:rsidP="00FF5E02">
            <w:pPr>
              <w:numPr>
                <w:ilvl w:val="0"/>
                <w:numId w:val="2"/>
              </w:numPr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Familiarise</w:t>
            </w:r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students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the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paradigm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of (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transatlantic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, international)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modernism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highlighting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its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internationalism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cosmopolitanism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and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dual</w:t>
            </w:r>
            <w:r w:rsidR="00BA7C65">
              <w:rPr>
                <w:rFonts w:ascii="Times New Roman" w:hAnsi="Times New Roman" w:cs="Times New Roman"/>
                <w:lang w:val="fr-FR"/>
              </w:rPr>
              <w:t>ity</w:t>
            </w:r>
            <w:proofErr w:type="spellEnd"/>
            <w:r w:rsidR="00BA7C65">
              <w:rPr>
                <w:rFonts w:ascii="Times New Roman" w:hAnsi="Times New Roman" w:cs="Times New Roman"/>
                <w:lang w:val="fr-FR"/>
              </w:rPr>
              <w:t xml:space="preserve">, and </w:t>
            </w:r>
            <w:proofErr w:type="spellStart"/>
            <w:r w:rsidR="00BA7C65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="00BA7C65">
              <w:rPr>
                <w:rFonts w:ascii="Times New Roman" w:hAnsi="Times New Roman" w:cs="Times New Roman"/>
                <w:lang w:val="fr-FR"/>
              </w:rPr>
              <w:t xml:space="preserve"> a range of American</w:t>
            </w:r>
            <w:r w:rsidR="0044392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443921">
              <w:rPr>
                <w:rFonts w:ascii="Times New Roman" w:hAnsi="Times New Roman" w:cs="Times New Roman"/>
                <w:lang w:val="fr-FR"/>
              </w:rPr>
              <w:t>writers</w:t>
            </w:r>
            <w:proofErr w:type="spellEnd"/>
            <w:r w:rsidR="00443921">
              <w:rPr>
                <w:rFonts w:ascii="Times New Roman" w:hAnsi="Times New Roman" w:cs="Times New Roman"/>
                <w:lang w:val="fr-FR"/>
              </w:rPr>
              <w:t xml:space="preserve"> and </w:t>
            </w:r>
            <w:proofErr w:type="spellStart"/>
            <w:r w:rsidR="00443921">
              <w:rPr>
                <w:rFonts w:ascii="Times New Roman" w:hAnsi="Times New Roman" w:cs="Times New Roman"/>
                <w:lang w:val="fr-FR"/>
              </w:rPr>
              <w:t>their</w:t>
            </w:r>
            <w:proofErr w:type="spellEnd"/>
            <w:r w:rsidR="00443921">
              <w:rPr>
                <w:rFonts w:ascii="Times New Roman" w:hAnsi="Times New Roman" w:cs="Times New Roman"/>
                <w:lang w:val="fr-FR"/>
              </w:rPr>
              <w:t xml:space="preserve"> prose and </w:t>
            </w:r>
            <w:proofErr w:type="spellStart"/>
            <w:r w:rsidR="00443921">
              <w:rPr>
                <w:rFonts w:ascii="Times New Roman" w:hAnsi="Times New Roman" w:cs="Times New Roman"/>
                <w:lang w:val="fr-FR"/>
              </w:rPr>
              <w:t>poetry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, as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well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as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enhancing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their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aesthetic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and cultural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awareness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of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modernism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as a radical break </w:t>
            </w:r>
            <w:proofErr w:type="spellStart"/>
            <w:r w:rsidR="00FF5E02" w:rsidRPr="00FF5E02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="00FF5E02" w:rsidRPr="00FF5E02">
              <w:rPr>
                <w:rFonts w:ascii="Times New Roman" w:hAnsi="Times New Roman" w:cs="Times New Roman"/>
                <w:lang w:val="fr-FR"/>
              </w:rPr>
              <w:t xml:space="preserve"> the line of tradition</w:t>
            </w:r>
          </w:p>
          <w:p w14:paraId="4678167A" w14:textId="77777777" w:rsidR="00FF5E02" w:rsidRPr="00FF5E02" w:rsidRDefault="00FF5E02" w:rsidP="00FF5E02">
            <w:p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08032855" w14:textId="77777777" w:rsidR="00FF5E02" w:rsidRPr="00FF5E02" w:rsidRDefault="00FF5E02" w:rsidP="00FF5E02">
            <w:pPr>
              <w:spacing w:after="160" w:line="259" w:lineRule="auto"/>
              <w:ind w:left="41"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  <w:b/>
              </w:rPr>
              <w:t>Course-specific competences</w:t>
            </w:r>
            <w:r w:rsidRPr="00FF5E02">
              <w:rPr>
                <w:rFonts w:ascii="Times New Roman" w:hAnsi="Times New Roman" w:cs="Times New Roman"/>
              </w:rPr>
              <w:t>:</w:t>
            </w:r>
          </w:p>
          <w:p w14:paraId="7C2EE877" w14:textId="77777777" w:rsidR="00FF5E02" w:rsidRDefault="00FF5E02" w:rsidP="00FF5E02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</w:rPr>
              <w:t>Trace the evolution of modernism from late 19th century Aestheticism</w:t>
            </w:r>
            <w:r w:rsidR="00BA7C65">
              <w:rPr>
                <w:rFonts w:ascii="Times New Roman" w:hAnsi="Times New Roman" w:cs="Times New Roman"/>
              </w:rPr>
              <w:t xml:space="preserve"> (Henry James) through the Armory Show</w:t>
            </w:r>
            <w:r w:rsidRPr="00FF5E02">
              <w:rPr>
                <w:rFonts w:ascii="Times New Roman" w:hAnsi="Times New Roman" w:cs="Times New Roman"/>
              </w:rPr>
              <w:t>, its peak in the 1920s</w:t>
            </w:r>
            <w:r w:rsidR="00BA7C65">
              <w:rPr>
                <w:rFonts w:ascii="Times New Roman" w:hAnsi="Times New Roman" w:cs="Times New Roman"/>
              </w:rPr>
              <w:t xml:space="preserve"> in the prose written by Ernest Hemingway, the “chronicler” of the Jazz Age F. Scott Fitzgerald, the collage-montage of John Dos </w:t>
            </w:r>
            <w:proofErr w:type="spellStart"/>
            <w:r w:rsidR="00BA7C65">
              <w:rPr>
                <w:rFonts w:ascii="Times New Roman" w:hAnsi="Times New Roman" w:cs="Times New Roman"/>
              </w:rPr>
              <w:t>Passos</w:t>
            </w:r>
            <w:proofErr w:type="spellEnd"/>
            <w:r w:rsidR="00BA7C65">
              <w:rPr>
                <w:rFonts w:ascii="Times New Roman" w:hAnsi="Times New Roman" w:cs="Times New Roman"/>
              </w:rPr>
              <w:t>’ New York novel</w:t>
            </w:r>
            <w:r w:rsidRPr="00FF5E02">
              <w:rPr>
                <w:rFonts w:ascii="Times New Roman" w:hAnsi="Times New Roman" w:cs="Times New Roman"/>
              </w:rPr>
              <w:t>,</w:t>
            </w:r>
            <w:r w:rsidR="00970A20">
              <w:rPr>
                <w:rFonts w:ascii="Times New Roman" w:hAnsi="Times New Roman" w:cs="Times New Roman"/>
              </w:rPr>
              <w:t xml:space="preserve"> the cultural and aesthetic phenomenon of the Harlem Renaissance, T. S. Eliot’s </w:t>
            </w:r>
            <w:r w:rsidR="00970A20">
              <w:rPr>
                <w:rFonts w:ascii="Times New Roman" w:hAnsi="Times New Roman" w:cs="Times New Roman"/>
                <w:i/>
              </w:rPr>
              <w:t xml:space="preserve">The Waste Land </w:t>
            </w:r>
            <w:r w:rsidR="00970A20">
              <w:rPr>
                <w:rFonts w:ascii="Times New Roman" w:hAnsi="Times New Roman" w:cs="Times New Roman"/>
              </w:rPr>
              <w:t xml:space="preserve">edited by Ezra Pound, E. E. Cumming’s experimental poetry, Imagism and Pound’s one-image poem, </w:t>
            </w:r>
            <w:r w:rsidRPr="00FF5E02">
              <w:rPr>
                <w:rFonts w:ascii="Times New Roman" w:hAnsi="Times New Roman" w:cs="Times New Roman"/>
              </w:rPr>
              <w:t xml:space="preserve"> and beyond</w:t>
            </w:r>
          </w:p>
          <w:p w14:paraId="2E992826" w14:textId="77777777" w:rsidR="00BA7C65" w:rsidRPr="00FF5E02" w:rsidRDefault="00BA7C65" w:rsidP="00FF5E02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and discuss the cultural context of American modernism:</w:t>
            </w:r>
            <w:r w:rsidR="009D2A49">
              <w:rPr>
                <w:rFonts w:ascii="Times New Roman" w:hAnsi="Times New Roman" w:cs="Times New Roman"/>
              </w:rPr>
              <w:t xml:space="preserve"> World War I,</w:t>
            </w:r>
            <w:r>
              <w:rPr>
                <w:rFonts w:ascii="Times New Roman" w:hAnsi="Times New Roman" w:cs="Times New Roman"/>
              </w:rPr>
              <w:t xml:space="preserve"> the Eighteenth Amendment to the US Constitution and the </w:t>
            </w:r>
            <w:r w:rsidR="00CB6EF5">
              <w:rPr>
                <w:rFonts w:ascii="Times New Roman" w:hAnsi="Times New Roman" w:cs="Times New Roman"/>
              </w:rPr>
              <w:t xml:space="preserve">13 years of Prohibition (1920-1933), Women’s Suffrage in the US, culminating with </w:t>
            </w:r>
            <w:r w:rsidR="00687AF5">
              <w:rPr>
                <w:rFonts w:ascii="Times New Roman" w:hAnsi="Times New Roman" w:cs="Times New Roman"/>
              </w:rPr>
              <w:t xml:space="preserve">the Nineteenth Amendment </w:t>
            </w:r>
            <w:r w:rsidR="009E3A75">
              <w:rPr>
                <w:rFonts w:ascii="Times New Roman" w:hAnsi="Times New Roman" w:cs="Times New Roman"/>
              </w:rPr>
              <w:t>adopted officially on August 26, 1920</w:t>
            </w:r>
            <w:r w:rsidR="00432CBC">
              <w:rPr>
                <w:rFonts w:ascii="Times New Roman" w:hAnsi="Times New Roman" w:cs="Times New Roman"/>
              </w:rPr>
              <w:t>, the Lost Generation</w:t>
            </w:r>
          </w:p>
          <w:p w14:paraId="44A60AA7" w14:textId="77777777" w:rsidR="00FF5E02" w:rsidRPr="00FF5E02" w:rsidRDefault="00FF5E02" w:rsidP="00FF5E02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</w:rPr>
              <w:t>Present and discuss the characteristic features of modernism</w:t>
            </w:r>
            <w:r w:rsidR="00BA7C65">
              <w:rPr>
                <w:rFonts w:ascii="Times New Roman" w:hAnsi="Times New Roman" w:cs="Times New Roman"/>
              </w:rPr>
              <w:t xml:space="preserve"> in Europe and in  the US, where it fought a neck and neck battle with naturalism and realism</w:t>
            </w:r>
          </w:p>
          <w:p w14:paraId="30F38222" w14:textId="77777777" w:rsidR="00FF5E02" w:rsidRPr="00FF5E02" w:rsidRDefault="00FF5E02" w:rsidP="00FF5E02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</w:rPr>
              <w:t>Critically read modernist texts using customised tools</w:t>
            </w:r>
          </w:p>
        </w:tc>
      </w:tr>
      <w:tr w:rsidR="00FF5E02" w:rsidRPr="00FF5E02" w14:paraId="30BFF3FD" w14:textId="77777777" w:rsidTr="00BE4E7B">
        <w:tc>
          <w:tcPr>
            <w:tcW w:w="562" w:type="dxa"/>
            <w:shd w:val="clear" w:color="auto" w:fill="A6A6A6" w:themeFill="background1" w:themeFillShade="A6"/>
          </w:tcPr>
          <w:p w14:paraId="4DFDED7E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18CC721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Learning outcomes</w:t>
            </w:r>
          </w:p>
        </w:tc>
      </w:tr>
      <w:tr w:rsidR="00FF5E02" w:rsidRPr="00FF5E02" w14:paraId="664D3FC6" w14:textId="77777777" w:rsidTr="00BE4E7B">
        <w:tc>
          <w:tcPr>
            <w:tcW w:w="562" w:type="dxa"/>
            <w:shd w:val="clear" w:color="auto" w:fill="F2F2F2" w:themeFill="background1" w:themeFillShade="F2"/>
          </w:tcPr>
          <w:p w14:paraId="4EFFF0D3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BC6A62B" w14:textId="77777777" w:rsidR="00FF5E02" w:rsidRPr="00FF5E02" w:rsidRDefault="00FF5E02" w:rsidP="00FF5E02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</w:rPr>
              <w:t>Recognise and describe features of modernism</w:t>
            </w:r>
            <w:r w:rsidR="00970A20">
              <w:rPr>
                <w:rFonts w:ascii="Times New Roman" w:hAnsi="Times New Roman" w:cs="Times New Roman"/>
              </w:rPr>
              <w:t xml:space="preserve"> in prose and poetry</w:t>
            </w:r>
          </w:p>
          <w:p w14:paraId="1EE19F75" w14:textId="77777777" w:rsidR="00FF5E02" w:rsidRPr="00FF5E02" w:rsidRDefault="00FF5E02" w:rsidP="00FF5E02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</w:rPr>
              <w:t>Discuss the aesthetic and cultural value of modernism</w:t>
            </w:r>
            <w:r w:rsidR="0025664E">
              <w:rPr>
                <w:rFonts w:ascii="Times New Roman" w:hAnsi="Times New Roman" w:cs="Times New Roman"/>
              </w:rPr>
              <w:t xml:space="preserve"> in the US</w:t>
            </w:r>
          </w:p>
          <w:p w14:paraId="50AF0B31" w14:textId="77777777" w:rsidR="00FF5E02" w:rsidRPr="00FF5E02" w:rsidRDefault="00FF5E02" w:rsidP="00FF5E02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FF5E02">
              <w:rPr>
                <w:rFonts w:ascii="Times New Roman" w:hAnsi="Times New Roman" w:cs="Times New Roman"/>
              </w:rPr>
              <w:t>Analyse major themes in modernist prose</w:t>
            </w:r>
            <w:r w:rsidR="00970A20">
              <w:rPr>
                <w:rFonts w:ascii="Times New Roman" w:hAnsi="Times New Roman" w:cs="Times New Roman"/>
              </w:rPr>
              <w:t xml:space="preserve"> and poetry</w:t>
            </w:r>
            <w:r w:rsidRPr="00FF5E02">
              <w:rPr>
                <w:rFonts w:ascii="Times New Roman" w:hAnsi="Times New Roman" w:cs="Times New Roman"/>
              </w:rPr>
              <w:t>: alienation, split personality, dehumanization, frustration, anxiety, meaninglessness, disconnection</w:t>
            </w:r>
          </w:p>
        </w:tc>
      </w:tr>
      <w:tr w:rsidR="00FF5E02" w:rsidRPr="00FF5E02" w14:paraId="051297C4" w14:textId="77777777" w:rsidTr="00BE4E7B">
        <w:tc>
          <w:tcPr>
            <w:tcW w:w="562" w:type="dxa"/>
            <w:shd w:val="clear" w:color="auto" w:fill="A6A6A6" w:themeFill="background1" w:themeFillShade="A6"/>
          </w:tcPr>
          <w:p w14:paraId="3C947B20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smallCaps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7445F8E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Lecture content</w:t>
            </w:r>
          </w:p>
        </w:tc>
      </w:tr>
      <w:tr w:rsidR="00FF5E02" w:rsidRPr="00FF5E02" w14:paraId="7F45B051" w14:textId="77777777" w:rsidTr="00BE4E7B">
        <w:tc>
          <w:tcPr>
            <w:tcW w:w="562" w:type="dxa"/>
            <w:shd w:val="clear" w:color="auto" w:fill="F2F2F2" w:themeFill="background1" w:themeFillShade="F2"/>
          </w:tcPr>
          <w:p w14:paraId="3554F120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6B337F0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F5E02">
              <w:rPr>
                <w:rFonts w:ascii="Times New Roman" w:hAnsi="Times New Roman" w:cs="Times New Roman"/>
                <w:spacing w:val="-8"/>
              </w:rPr>
              <w:t>Modernism: what, where and when?</w:t>
            </w:r>
            <w:r w:rsidR="004A1AC6">
              <w:rPr>
                <w:rFonts w:ascii="Times New Roman" w:hAnsi="Times New Roman" w:cs="Times New Roman"/>
                <w:spacing w:val="-8"/>
              </w:rPr>
              <w:t xml:space="preserve"> (New York, the Armory Show, 1913)</w:t>
            </w:r>
          </w:p>
          <w:p w14:paraId="7475A775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F5E02">
              <w:rPr>
                <w:rFonts w:ascii="Times New Roman" w:hAnsi="Times New Roman" w:cs="Times New Roman"/>
                <w:spacing w:val="-8"/>
              </w:rPr>
              <w:t xml:space="preserve">A geography of modernism; modernism: an international and transatlantic ”affair” (cf. Malcolm </w:t>
            </w:r>
            <w:r w:rsidRPr="00FF5E02">
              <w:rPr>
                <w:rFonts w:ascii="Times New Roman" w:hAnsi="Times New Roman" w:cs="Times New Roman"/>
                <w:spacing w:val="-8"/>
              </w:rPr>
              <w:lastRenderedPageBreak/>
              <w:t xml:space="preserve">Bradbury), and a cultural and aesthetic seism </w:t>
            </w:r>
          </w:p>
          <w:p w14:paraId="60A63953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F5E02">
              <w:rPr>
                <w:rFonts w:ascii="Times New Roman" w:hAnsi="Times New Roman" w:cs="Times New Roman"/>
                <w:spacing w:val="-8"/>
              </w:rPr>
              <w:t>The cultural and intellectual climate of modernism: modernism and its movements; the new arts: photography and the cinema; World War I and shell-shocked soldiers; Nietzsche’s spiritual ruins; Freud’s psychoanalysis; Marx’s economic determinism; Bergson’s theory of  time (</w:t>
            </w:r>
            <w:r w:rsidRPr="00FF5E02">
              <w:rPr>
                <w:rFonts w:ascii="Times New Roman" w:hAnsi="Times New Roman" w:cs="Times New Roman"/>
                <w:i/>
              </w:rPr>
              <w:t>durée</w:t>
            </w:r>
            <w:r w:rsidRPr="00FF5E02">
              <w:rPr>
                <w:rFonts w:ascii="Times New Roman" w:hAnsi="Times New Roman" w:cs="Times New Roman"/>
              </w:rPr>
              <w:t>), Einstein’s relativity of simultaneity; quantum mechanics</w:t>
            </w:r>
          </w:p>
          <w:p w14:paraId="63F20EE0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pacing w:val="-8"/>
              </w:rPr>
            </w:pPr>
            <w:r w:rsidRPr="00FF5E02">
              <w:rPr>
                <w:rFonts w:ascii="Times New Roman" w:hAnsi="Times New Roman" w:cs="Times New Roman"/>
                <w:spacing w:val="-8"/>
              </w:rPr>
              <w:t>Modernism and the city: Paris; London; Dublin; New York</w:t>
            </w:r>
          </w:p>
          <w:p w14:paraId="58318C87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F5E02">
              <w:rPr>
                <w:rFonts w:ascii="Times New Roman" w:hAnsi="Times New Roman" w:cs="Times New Roman"/>
                <w:i/>
                <w:spacing w:val="-8"/>
              </w:rPr>
              <w:t xml:space="preserve">Fin de siècle </w:t>
            </w:r>
            <w:r w:rsidRPr="00FF5E02">
              <w:rPr>
                <w:rFonts w:ascii="Times New Roman" w:hAnsi="Times New Roman" w:cs="Times New Roman"/>
                <w:spacing w:val="-8"/>
              </w:rPr>
              <w:t>aest</w:t>
            </w:r>
            <w:r w:rsidR="00C47ACA">
              <w:rPr>
                <w:rFonts w:ascii="Times New Roman" w:hAnsi="Times New Roman" w:cs="Times New Roman"/>
                <w:spacing w:val="-8"/>
              </w:rPr>
              <w:t>heticism and Henry James, a forerunner of modernism</w:t>
            </w:r>
            <w:r w:rsidR="006C3EDD">
              <w:rPr>
                <w:rFonts w:ascii="Times New Roman" w:hAnsi="Times New Roman" w:cs="Times New Roman"/>
                <w:spacing w:val="-8"/>
              </w:rPr>
              <w:t xml:space="preserve"> (interest in psychological realism, Impressionism, self-consciousness, international themes)</w:t>
            </w:r>
          </w:p>
          <w:p w14:paraId="7FE8F91F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F5E02">
              <w:rPr>
                <w:rFonts w:ascii="Times New Roman" w:hAnsi="Times New Roman" w:cs="Times New Roman"/>
                <w:spacing w:val="-8"/>
              </w:rPr>
              <w:t>Characteristics of modernism</w:t>
            </w:r>
          </w:p>
          <w:p w14:paraId="27AA118D" w14:textId="77777777" w:rsidR="007414B8" w:rsidRDefault="007414B8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Myth, primitivism and modernism</w:t>
            </w:r>
          </w:p>
          <w:p w14:paraId="4270084B" w14:textId="77777777" w:rsidR="00AD01FC" w:rsidRPr="00FF5E02" w:rsidRDefault="00AD01FC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The Harlem Renaissance</w:t>
            </w:r>
          </w:p>
          <w:p w14:paraId="5EFAF651" w14:textId="77777777" w:rsidR="00FF5E02" w:rsidRDefault="00AD01FC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Harlem Renaissance</w:t>
            </w:r>
            <w:r w:rsidR="00FF5E02" w:rsidRPr="00FF5E02">
              <w:rPr>
                <w:rFonts w:ascii="Times New Roman" w:hAnsi="Times New Roman" w:cs="Times New Roman"/>
                <w:spacing w:val="-8"/>
              </w:rPr>
              <w:t xml:space="preserve"> magazines and manifestos</w:t>
            </w:r>
            <w:r w:rsidR="004A1AC6">
              <w:rPr>
                <w:rFonts w:ascii="Times New Roman" w:hAnsi="Times New Roman" w:cs="Times New Roman"/>
                <w:spacing w:val="-8"/>
              </w:rPr>
              <w:t xml:space="preserve"> (with a focus on Langston Hughes’ “The Negro Artist and the Racial Mountain” and Alain Locke’s “The New Negro”)</w:t>
            </w:r>
          </w:p>
          <w:p w14:paraId="5CC86FCB" w14:textId="77777777" w:rsidR="004A1952" w:rsidRPr="00FF5E02" w:rsidRDefault="004A195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Harlem Renaissance poets (with a focus on Langston Hughes’</w:t>
            </w:r>
            <w:r w:rsidR="00432D14">
              <w:rPr>
                <w:rFonts w:ascii="Times New Roman" w:hAnsi="Times New Roman" w:cs="Times New Roman"/>
                <w:spacing w:val="-8"/>
              </w:rPr>
              <w:t xml:space="preserve"> jazz </w:t>
            </w:r>
            <w:r w:rsidR="001A2719">
              <w:rPr>
                <w:rFonts w:ascii="Times New Roman" w:hAnsi="Times New Roman" w:cs="Times New Roman"/>
                <w:spacing w:val="-8"/>
              </w:rPr>
              <w:t xml:space="preserve"> and blues </w:t>
            </w:r>
            <w:r w:rsidR="00432D14">
              <w:rPr>
                <w:rFonts w:ascii="Times New Roman" w:hAnsi="Times New Roman" w:cs="Times New Roman"/>
                <w:spacing w:val="-8"/>
              </w:rPr>
              <w:t>poetry:</w:t>
            </w:r>
            <w:r>
              <w:rPr>
                <w:rFonts w:ascii="Times New Roman" w:hAnsi="Times New Roman" w:cs="Times New Roman"/>
                <w:spacing w:val="-8"/>
              </w:rPr>
              <w:t xml:space="preserve"> “The Negro Speaks of Rivers”, “The Weary Blues”</w:t>
            </w:r>
            <w:r w:rsidR="00B36D9F">
              <w:rPr>
                <w:rFonts w:ascii="Times New Roman" w:hAnsi="Times New Roman" w:cs="Times New Roman"/>
                <w:spacing w:val="-8"/>
              </w:rPr>
              <w:t>, “I, Too”</w:t>
            </w:r>
            <w:r>
              <w:rPr>
                <w:rFonts w:ascii="Times New Roman" w:hAnsi="Times New Roman" w:cs="Times New Roman"/>
                <w:spacing w:val="-8"/>
              </w:rPr>
              <w:t xml:space="preserve"> and “</w:t>
            </w:r>
            <w:r w:rsidR="000654C2">
              <w:rPr>
                <w:rFonts w:ascii="Times New Roman" w:hAnsi="Times New Roman" w:cs="Times New Roman"/>
                <w:spacing w:val="-8"/>
              </w:rPr>
              <w:t>Harlem</w:t>
            </w:r>
            <w:r>
              <w:rPr>
                <w:rFonts w:ascii="Times New Roman" w:hAnsi="Times New Roman" w:cs="Times New Roman"/>
                <w:spacing w:val="-8"/>
              </w:rPr>
              <w:t>”</w:t>
            </w:r>
            <w:r w:rsidR="00432D14">
              <w:rPr>
                <w:rFonts w:ascii="Times New Roman" w:hAnsi="Times New Roman" w:cs="Times New Roman"/>
                <w:spacing w:val="-8"/>
              </w:rPr>
              <w:t xml:space="preserve">; </w:t>
            </w:r>
            <w:r w:rsidR="000F5675">
              <w:rPr>
                <w:rFonts w:ascii="Times New Roman" w:hAnsi="Times New Roman" w:cs="Times New Roman"/>
                <w:spacing w:val="-8"/>
              </w:rPr>
              <w:t>Claude McKay’s</w:t>
            </w:r>
            <w:r w:rsidR="000654C2">
              <w:rPr>
                <w:rFonts w:ascii="Times New Roman" w:hAnsi="Times New Roman" w:cs="Times New Roman"/>
                <w:spacing w:val="-8"/>
              </w:rPr>
              <w:t xml:space="preserve"> “A Harlem Dancer”</w:t>
            </w:r>
            <w:r>
              <w:rPr>
                <w:rFonts w:ascii="Times New Roman" w:hAnsi="Times New Roman" w:cs="Times New Roman"/>
                <w:spacing w:val="-8"/>
              </w:rPr>
              <w:t>)</w:t>
            </w:r>
          </w:p>
          <w:p w14:paraId="1075ADF1" w14:textId="77777777" w:rsidR="00FF5E02" w:rsidRDefault="004A195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Modernist prose</w:t>
            </w:r>
            <w:r w:rsidR="00FF5E02" w:rsidRPr="00FF5E02">
              <w:rPr>
                <w:rFonts w:ascii="Times New Roman" w:hAnsi="Times New Roman" w:cs="Times New Roman"/>
                <w:spacing w:val="-8"/>
              </w:rPr>
              <w:t>: experiments with stream of consciousness and points of view; erosion  of plo</w:t>
            </w:r>
            <w:r w:rsidR="00D11A82">
              <w:rPr>
                <w:rFonts w:ascii="Times New Roman" w:hAnsi="Times New Roman" w:cs="Times New Roman"/>
                <w:spacing w:val="-8"/>
              </w:rPr>
              <w:t>t; dissipation of character</w:t>
            </w:r>
            <w:r w:rsidR="007414B8">
              <w:rPr>
                <w:rFonts w:ascii="Times New Roman" w:hAnsi="Times New Roman" w:cs="Times New Roman"/>
                <w:spacing w:val="-8"/>
              </w:rPr>
              <w:t xml:space="preserve"> (with a  focus on William Faulkner’s </w:t>
            </w:r>
            <w:r w:rsidR="007414B8">
              <w:rPr>
                <w:rFonts w:ascii="Times New Roman" w:hAnsi="Times New Roman" w:cs="Times New Roman"/>
                <w:i/>
                <w:spacing w:val="-8"/>
              </w:rPr>
              <w:t>The Sound and the Fury</w:t>
            </w:r>
            <w:r w:rsidR="007414B8">
              <w:rPr>
                <w:rFonts w:ascii="Times New Roman" w:hAnsi="Times New Roman" w:cs="Times New Roman"/>
                <w:spacing w:val="-8"/>
              </w:rPr>
              <w:t xml:space="preserve">, F. Scott Fitzgerald’s “Babylon Revisited” and </w:t>
            </w:r>
            <w:r w:rsidR="007414B8">
              <w:rPr>
                <w:rFonts w:ascii="Times New Roman" w:hAnsi="Times New Roman" w:cs="Times New Roman"/>
                <w:i/>
                <w:spacing w:val="-8"/>
              </w:rPr>
              <w:t>The Great Gatsby</w:t>
            </w:r>
            <w:r w:rsidR="007414B8">
              <w:rPr>
                <w:rFonts w:ascii="Times New Roman" w:hAnsi="Times New Roman" w:cs="Times New Roman"/>
                <w:spacing w:val="-8"/>
              </w:rPr>
              <w:t xml:space="preserve">, John Dos </w:t>
            </w:r>
            <w:proofErr w:type="spellStart"/>
            <w:r w:rsidR="007414B8">
              <w:rPr>
                <w:rFonts w:ascii="Times New Roman" w:hAnsi="Times New Roman" w:cs="Times New Roman"/>
                <w:spacing w:val="-8"/>
              </w:rPr>
              <w:t>Passos</w:t>
            </w:r>
            <w:proofErr w:type="spellEnd"/>
            <w:r w:rsidR="007414B8">
              <w:rPr>
                <w:rFonts w:ascii="Times New Roman" w:hAnsi="Times New Roman" w:cs="Times New Roman"/>
                <w:spacing w:val="-8"/>
              </w:rPr>
              <w:t xml:space="preserve">’ </w:t>
            </w:r>
            <w:r w:rsidR="007414B8">
              <w:rPr>
                <w:rFonts w:ascii="Times New Roman" w:hAnsi="Times New Roman" w:cs="Times New Roman"/>
                <w:i/>
                <w:spacing w:val="-8"/>
              </w:rPr>
              <w:t>Manhattan Transfer</w:t>
            </w:r>
            <w:r w:rsidR="00D11A82">
              <w:rPr>
                <w:rFonts w:ascii="Times New Roman" w:hAnsi="Times New Roman" w:cs="Times New Roman"/>
                <w:spacing w:val="-8"/>
              </w:rPr>
              <w:t>, Ernest Hemingway’s “Soldier’s Home”,</w:t>
            </w:r>
            <w:r w:rsidR="007C35F6">
              <w:rPr>
                <w:rFonts w:ascii="Times New Roman" w:hAnsi="Times New Roman" w:cs="Times New Roman"/>
                <w:i/>
                <w:spacing w:val="-8"/>
              </w:rPr>
              <w:t xml:space="preserve"> The Sun Also Rises</w:t>
            </w:r>
            <w:r w:rsidR="007C35F6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="00D11A82">
              <w:rPr>
                <w:rFonts w:ascii="Times New Roman" w:hAnsi="Times New Roman" w:cs="Times New Roman"/>
                <w:spacing w:val="-8"/>
              </w:rPr>
              <w:t xml:space="preserve"> “The Snows of Kilimanjaro”, “A Clean Well-lighted Place”</w:t>
            </w:r>
            <w:r w:rsidR="00FF5E02" w:rsidRPr="00FF5E02">
              <w:rPr>
                <w:rFonts w:ascii="Times New Roman" w:hAnsi="Times New Roman" w:cs="Times New Roman"/>
                <w:spacing w:val="-8"/>
              </w:rPr>
              <w:t>)</w:t>
            </w:r>
          </w:p>
          <w:p w14:paraId="0D9EBF4F" w14:textId="77777777" w:rsidR="000654C2" w:rsidRDefault="000654C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Modernist poetry</w:t>
            </w:r>
            <w:r w:rsidR="00BB482F">
              <w:rPr>
                <w:rFonts w:ascii="Times New Roman" w:hAnsi="Times New Roman" w:cs="Times New Roman"/>
                <w:spacing w:val="-8"/>
              </w:rPr>
              <w:t xml:space="preserve"> under the sign of “Make It New”:</w:t>
            </w:r>
            <w:r>
              <w:rPr>
                <w:rFonts w:ascii="Times New Roman" w:hAnsi="Times New Roman" w:cs="Times New Roman"/>
                <w:spacing w:val="-8"/>
              </w:rPr>
              <w:t xml:space="preserve"> (T. S. Eliot, Ezra Pound,</w:t>
            </w:r>
            <w:r w:rsidR="00BB482F">
              <w:rPr>
                <w:rFonts w:ascii="Times New Roman" w:hAnsi="Times New Roman" w:cs="Times New Roman"/>
                <w:spacing w:val="-8"/>
              </w:rPr>
              <w:t xml:space="preserve"> Wallace Stevens,</w:t>
            </w:r>
            <w:r w:rsidR="005D0EF4">
              <w:rPr>
                <w:rFonts w:ascii="Times New Roman" w:hAnsi="Times New Roman" w:cs="Times New Roman"/>
                <w:spacing w:val="-8"/>
              </w:rPr>
              <w:t xml:space="preserve"> Hart Crane,</w:t>
            </w:r>
            <w:r>
              <w:rPr>
                <w:rFonts w:ascii="Times New Roman" w:hAnsi="Times New Roman" w:cs="Times New Roman"/>
                <w:spacing w:val="-8"/>
              </w:rPr>
              <w:t xml:space="preserve"> William Carlos Williams, E. E. Cummings, Marianne Moore</w:t>
            </w:r>
            <w:r w:rsidR="00970A20">
              <w:rPr>
                <w:rFonts w:ascii="Times New Roman" w:hAnsi="Times New Roman" w:cs="Times New Roman"/>
                <w:spacing w:val="-8"/>
              </w:rPr>
              <w:t>, H.D., Robert Frost</w:t>
            </w:r>
            <w:r>
              <w:rPr>
                <w:rFonts w:ascii="Times New Roman" w:hAnsi="Times New Roman" w:cs="Times New Roman"/>
                <w:spacing w:val="-8"/>
              </w:rPr>
              <w:t>)</w:t>
            </w:r>
          </w:p>
          <w:p w14:paraId="1E1DFB7D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F5E02">
              <w:rPr>
                <w:rFonts w:ascii="Times New Roman" w:hAnsi="Times New Roman" w:cs="Times New Roman"/>
                <w:spacing w:val="-8"/>
              </w:rPr>
              <w:t>Wind-up: modernism and beyond (high modernism)</w:t>
            </w:r>
          </w:p>
        </w:tc>
      </w:tr>
      <w:tr w:rsidR="00FF5E02" w:rsidRPr="00FF5E02" w14:paraId="2750BAEB" w14:textId="77777777" w:rsidTr="00BE4E7B">
        <w:tc>
          <w:tcPr>
            <w:tcW w:w="562" w:type="dxa"/>
            <w:shd w:val="clear" w:color="auto" w:fill="A6A6A6" w:themeFill="background1" w:themeFillShade="A6"/>
          </w:tcPr>
          <w:p w14:paraId="2F89FF53" w14:textId="77777777" w:rsidR="00FF5E02" w:rsidRPr="00FF5E02" w:rsidRDefault="00FF5E02" w:rsidP="00FF5E02">
            <w:pPr>
              <w:spacing w:after="160" w:line="259" w:lineRule="auto"/>
              <w:rPr>
                <w:rFonts w:ascii="Arial Narrow" w:hAnsi="Arial Narrow" w:cs="Arial"/>
                <w:smallCaps/>
                <w:color w:val="FFFFFF" w:themeColor="background1"/>
              </w:rPr>
            </w:pPr>
            <w:r w:rsidRPr="00FF5E02">
              <w:rPr>
                <w:rFonts w:ascii="Arial Narrow" w:hAnsi="Arial Narrow" w:cs="Arial"/>
                <w:smallCaps/>
                <w:color w:val="FFFFFF" w:themeColor="background1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C14DC35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FF5E02">
              <w:rPr>
                <w:rFonts w:ascii="Arial Narrow" w:hAnsi="Arial Narrow" w:cs="Arial"/>
                <w:b/>
                <w:smallCaps/>
                <w:color w:val="FFFFFF" w:themeColor="background1"/>
              </w:rPr>
              <w:t>Recommended reading for lectures</w:t>
            </w:r>
          </w:p>
        </w:tc>
      </w:tr>
      <w:tr w:rsidR="00FF5E02" w:rsidRPr="00FF5E02" w14:paraId="260D282C" w14:textId="77777777" w:rsidTr="00BE4E7B">
        <w:tc>
          <w:tcPr>
            <w:tcW w:w="562" w:type="dxa"/>
            <w:shd w:val="clear" w:color="auto" w:fill="F2F2F2" w:themeFill="background1" w:themeFillShade="F2"/>
          </w:tcPr>
          <w:p w14:paraId="5F1F7ECB" w14:textId="77777777" w:rsidR="00FF5E02" w:rsidRPr="00FF5E02" w:rsidRDefault="00FF5E02" w:rsidP="00FF5E02">
            <w:pPr>
              <w:spacing w:after="160" w:line="259" w:lineRule="auto"/>
              <w:rPr>
                <w:rFonts w:ascii="Arial Narrow" w:hAnsi="Arial Narrow" w:cs="Arial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6501F24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  <w:r w:rsidRPr="00062DAE">
              <w:rPr>
                <w:rFonts w:ascii="Times New Roman" w:hAnsi="Times New Roman" w:cs="Times New Roman"/>
              </w:rPr>
              <w:t xml:space="preserve">Bradshaw, David et. al. eds. (2008), </w:t>
            </w:r>
            <w:r w:rsidRPr="00062DAE">
              <w:rPr>
                <w:rFonts w:ascii="Times New Roman" w:hAnsi="Times New Roman" w:cs="Times New Roman"/>
                <w:i/>
              </w:rPr>
              <w:t xml:space="preserve">A Companion to Modernist Literature and Culture. </w:t>
            </w:r>
            <w:r w:rsidRPr="00062DAE">
              <w:rPr>
                <w:rFonts w:ascii="Times New Roman" w:hAnsi="Times New Roman" w:cs="Times New Roman"/>
              </w:rPr>
              <w:t>Wiley-Blackwell (available at the Reading Room Library)</w:t>
            </w:r>
          </w:p>
          <w:p w14:paraId="5AC78969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</w:p>
          <w:p w14:paraId="33EF591D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  <w:r w:rsidRPr="00062DAE">
              <w:rPr>
                <w:rFonts w:ascii="Times New Roman" w:hAnsi="Times New Roman" w:cs="Times New Roman"/>
              </w:rPr>
              <w:t xml:space="preserve">Frisby, David (2001), </w:t>
            </w:r>
            <w:r w:rsidRPr="00062DAE">
              <w:rPr>
                <w:rFonts w:ascii="Times New Roman" w:hAnsi="Times New Roman" w:cs="Times New Roman"/>
                <w:i/>
                <w:iCs/>
              </w:rPr>
              <w:t>Cityscapes of Modernity: Critical Explorations</w:t>
            </w:r>
            <w:r w:rsidRPr="00062DAE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062DAE">
                  <w:rPr>
                    <w:rFonts w:ascii="Times New Roman" w:hAnsi="Times New Roman" w:cs="Times New Roman"/>
                  </w:rPr>
                  <w:t>Cambridge</w:t>
                </w:r>
              </w:smartTag>
            </w:smartTag>
            <w:r w:rsidRPr="00062DAE">
              <w:rPr>
                <w:rFonts w:ascii="Times New Roman" w:hAnsi="Times New Roman" w:cs="Times New Roman"/>
              </w:rPr>
              <w:t>: Polity Press.</w:t>
            </w:r>
          </w:p>
          <w:p w14:paraId="003A6A75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</w:p>
          <w:p w14:paraId="5C12B177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  <w:r w:rsidRPr="00062DAE">
              <w:rPr>
                <w:rFonts w:ascii="Times New Roman" w:hAnsi="Times New Roman" w:cs="Times New Roman"/>
              </w:rPr>
              <w:t xml:space="preserve">Harding, Desmond (2002), </w:t>
            </w:r>
            <w:r w:rsidRPr="00062DAE">
              <w:rPr>
                <w:rFonts w:ascii="Times New Roman" w:hAnsi="Times New Roman" w:cs="Times New Roman"/>
                <w:i/>
                <w:iCs/>
              </w:rPr>
              <w:t>Writing the City: Urban Visions And Literary Modernism</w:t>
            </w:r>
            <w:r w:rsidRPr="00062DAE">
              <w:rPr>
                <w:rFonts w:ascii="Times New Roman" w:hAnsi="Times New Roman" w:cs="Times New Roman"/>
              </w:rPr>
              <w:t>. New York: Routledge (digital text)</w:t>
            </w:r>
          </w:p>
          <w:p w14:paraId="542F0D74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</w:p>
          <w:p w14:paraId="2C240098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  <w:proofErr w:type="spellStart"/>
            <w:r w:rsidRPr="00062DAE">
              <w:rPr>
                <w:rFonts w:ascii="Times New Roman" w:hAnsi="Times New Roman" w:cs="Times New Roman"/>
              </w:rPr>
              <w:t>Huyssen</w:t>
            </w:r>
            <w:proofErr w:type="spellEnd"/>
            <w:r w:rsidRPr="00062DAE">
              <w:rPr>
                <w:rFonts w:ascii="Times New Roman" w:hAnsi="Times New Roman" w:cs="Times New Roman"/>
              </w:rPr>
              <w:t xml:space="preserve">, Andreas (1986), </w:t>
            </w:r>
            <w:r w:rsidRPr="00062DAE">
              <w:rPr>
                <w:rFonts w:ascii="Times New Roman" w:hAnsi="Times New Roman" w:cs="Times New Roman"/>
                <w:i/>
                <w:iCs/>
              </w:rPr>
              <w:t>After the Great Divide: Modernism, Mass Culture, Postmodernism</w:t>
            </w:r>
            <w:r w:rsidRPr="00062DAE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062DAE">
                  <w:rPr>
                    <w:rFonts w:ascii="Times New Roman" w:hAnsi="Times New Roman" w:cs="Times New Roman"/>
                  </w:rPr>
                  <w:t>London</w:t>
                </w:r>
              </w:smartTag>
            </w:smartTag>
            <w:r w:rsidRPr="00062DAE">
              <w:rPr>
                <w:rFonts w:ascii="Times New Roman" w:hAnsi="Times New Roman" w:cs="Times New Roman"/>
              </w:rPr>
              <w:t>: Macmillan.</w:t>
            </w:r>
          </w:p>
          <w:p w14:paraId="7C379ECE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</w:p>
          <w:p w14:paraId="7CD451FF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  <w:r w:rsidRPr="00062DAE">
              <w:rPr>
                <w:rFonts w:ascii="Times New Roman" w:hAnsi="Times New Roman" w:cs="Times New Roman"/>
              </w:rPr>
              <w:t xml:space="preserve">North, Michael (1994) </w:t>
            </w:r>
            <w:r w:rsidRPr="00062DAE">
              <w:rPr>
                <w:rFonts w:ascii="Times New Roman" w:hAnsi="Times New Roman" w:cs="Times New Roman"/>
                <w:i/>
                <w:iCs/>
              </w:rPr>
              <w:t>The Dialect of Modernism: Race, Language, and Twentieth-Century Literature.</w:t>
            </w:r>
            <w:r w:rsidRPr="00062DAE">
              <w:rPr>
                <w:rFonts w:ascii="Times New Roman" w:hAnsi="Times New Roman" w:cs="Times New Roman"/>
              </w:rPr>
              <w:t xml:space="preserve"> NY: </w:t>
            </w:r>
            <w:smartTag w:uri="urn:schemas-microsoft-com:office:smarttags" w:element="City">
              <w:smartTag w:uri="urn:schemas-microsoft-com:office:smarttags" w:element="place">
                <w:r w:rsidRPr="00062DAE">
                  <w:rPr>
                    <w:rFonts w:ascii="Times New Roman" w:hAnsi="Times New Roman" w:cs="Times New Roman"/>
                  </w:rPr>
                  <w:t>Oxford</w:t>
                </w:r>
              </w:smartTag>
            </w:smartTag>
            <w:r w:rsidRPr="00062DAE">
              <w:rPr>
                <w:rFonts w:ascii="Times New Roman" w:hAnsi="Times New Roman" w:cs="Times New Roman"/>
              </w:rPr>
              <w:t xml:space="preserve"> UP.</w:t>
            </w:r>
          </w:p>
          <w:p w14:paraId="785AABEE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</w:p>
          <w:p w14:paraId="4982B2E3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  <w:proofErr w:type="spellStart"/>
            <w:r w:rsidRPr="00062DAE">
              <w:rPr>
                <w:rFonts w:ascii="Times New Roman" w:hAnsi="Times New Roman" w:cs="Times New Roman"/>
              </w:rPr>
              <w:t>Thaggert</w:t>
            </w:r>
            <w:proofErr w:type="spellEnd"/>
            <w:r w:rsidRPr="00062DAE">
              <w:rPr>
                <w:rFonts w:ascii="Times New Roman" w:hAnsi="Times New Roman" w:cs="Times New Roman"/>
              </w:rPr>
              <w:t xml:space="preserve">, Miriam (2010) </w:t>
            </w:r>
            <w:r w:rsidRPr="00062DAE">
              <w:rPr>
                <w:rFonts w:ascii="Times New Roman" w:hAnsi="Times New Roman" w:cs="Times New Roman"/>
                <w:i/>
                <w:iCs/>
              </w:rPr>
              <w:t xml:space="preserve">Images of Black Modernism: Verbal and Visual Strategies of the </w:t>
            </w:r>
            <w:smartTag w:uri="urn:schemas-microsoft-com:office:smarttags" w:element="place">
              <w:r w:rsidRPr="00062DAE">
                <w:rPr>
                  <w:rFonts w:ascii="Times New Roman" w:hAnsi="Times New Roman" w:cs="Times New Roman"/>
                  <w:i/>
                  <w:iCs/>
                </w:rPr>
                <w:t>Harlem</w:t>
              </w:r>
            </w:smartTag>
            <w:r w:rsidRPr="00062DAE">
              <w:rPr>
                <w:rFonts w:ascii="Times New Roman" w:hAnsi="Times New Roman" w:cs="Times New Roman"/>
                <w:i/>
                <w:iCs/>
              </w:rPr>
              <w:t xml:space="preserve"> Renaissance.</w:t>
            </w:r>
            <w:r w:rsidRPr="00062DA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City">
              <w:r w:rsidRPr="00062DAE">
                <w:rPr>
                  <w:rFonts w:ascii="Times New Roman" w:hAnsi="Times New Roman" w:cs="Times New Roman"/>
                </w:rPr>
                <w:t>Amherst</w:t>
              </w:r>
            </w:smartTag>
            <w:r w:rsidRPr="00062DAE">
              <w:rPr>
                <w:rFonts w:ascii="Times New Roman" w:hAnsi="Times New Roman" w:cs="Times New Roman"/>
              </w:rPr>
              <w:t xml:space="preserve">: U of </w:t>
            </w:r>
            <w:smartTag w:uri="urn:schemas-microsoft-com:office:smarttags" w:element="State">
              <w:smartTag w:uri="urn:schemas-microsoft-com:office:smarttags" w:element="place">
                <w:r w:rsidRPr="00062DAE">
                  <w:rPr>
                    <w:rFonts w:ascii="Times New Roman" w:hAnsi="Times New Roman" w:cs="Times New Roman"/>
                  </w:rPr>
                  <w:t>Massachusetts</w:t>
                </w:r>
              </w:smartTag>
            </w:smartTag>
            <w:r w:rsidRPr="00062DAE">
              <w:rPr>
                <w:rFonts w:ascii="Times New Roman" w:hAnsi="Times New Roman" w:cs="Times New Roman"/>
              </w:rPr>
              <w:t xml:space="preserve"> P.</w:t>
            </w:r>
          </w:p>
          <w:p w14:paraId="361577D2" w14:textId="77777777" w:rsidR="00B10EE4" w:rsidRPr="00062DAE" w:rsidRDefault="00B10EE4" w:rsidP="00B10EE4">
            <w:pPr>
              <w:rPr>
                <w:rFonts w:ascii="Times New Roman" w:hAnsi="Times New Roman" w:cs="Times New Roman"/>
              </w:rPr>
            </w:pPr>
          </w:p>
          <w:p w14:paraId="70A28675" w14:textId="77777777" w:rsidR="00FF5E02" w:rsidRPr="00FF5E02" w:rsidRDefault="006C7CFC" w:rsidP="00B10EE4">
            <w:hyperlink r:id="rId6" w:history="1">
              <w:r w:rsidR="00B10EE4" w:rsidRPr="00062DAE">
                <w:rPr>
                  <w:rStyle w:val="Hyperlink"/>
                  <w:rFonts w:ascii="Times New Roman" w:hAnsi="Times New Roman" w:cs="Times New Roman"/>
                </w:rPr>
                <w:t>https://www.modernamericanpoetry.org/dashboard</w:t>
              </w:r>
            </w:hyperlink>
            <w:r w:rsidR="00B10EE4" w:rsidRPr="00062DAE">
              <w:rPr>
                <w:rFonts w:ascii="Times New Roman" w:hAnsi="Times New Roman" w:cs="Times New Roman"/>
              </w:rPr>
              <w:t xml:space="preserve"> (http://maps-legacy.org/)</w:t>
            </w:r>
          </w:p>
        </w:tc>
      </w:tr>
      <w:tr w:rsidR="00FF5E02" w:rsidRPr="00FF5E02" w14:paraId="68CD57B0" w14:textId="77777777" w:rsidTr="00BE4E7B">
        <w:tc>
          <w:tcPr>
            <w:tcW w:w="562" w:type="dxa"/>
            <w:shd w:val="clear" w:color="auto" w:fill="A6A6A6" w:themeFill="background1" w:themeFillShade="A6"/>
          </w:tcPr>
          <w:p w14:paraId="61CAE897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smallCaps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049C312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Seminar content</w:t>
            </w:r>
          </w:p>
        </w:tc>
      </w:tr>
      <w:tr w:rsidR="00FF5E02" w:rsidRPr="00FF5E02" w14:paraId="4A4614DD" w14:textId="77777777" w:rsidTr="00BE4E7B">
        <w:tc>
          <w:tcPr>
            <w:tcW w:w="562" w:type="dxa"/>
            <w:shd w:val="clear" w:color="auto" w:fill="F2F2F2" w:themeFill="background1" w:themeFillShade="F2"/>
          </w:tcPr>
          <w:p w14:paraId="28A9E616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8ECAA18" w14:textId="77777777" w:rsidR="00FF5E02" w:rsidRPr="00402900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2900">
              <w:rPr>
                <w:rFonts w:ascii="Times New Roman" w:hAnsi="Times New Roman" w:cs="Times New Roman"/>
                <w:color w:val="000000" w:themeColor="text1"/>
              </w:rPr>
              <w:t>Reading and discussing prose texts emblematic</w:t>
            </w:r>
            <w:r w:rsidR="000F5675" w:rsidRPr="00402900">
              <w:rPr>
                <w:rFonts w:ascii="Times New Roman" w:hAnsi="Times New Roman" w:cs="Times New Roman"/>
                <w:color w:val="000000" w:themeColor="text1"/>
              </w:rPr>
              <w:t xml:space="preserve"> for and illustrative of American</w:t>
            </w:r>
            <w:r w:rsidRPr="00402900">
              <w:rPr>
                <w:rFonts w:ascii="Times New Roman" w:hAnsi="Times New Roman" w:cs="Times New Roman"/>
                <w:color w:val="000000" w:themeColor="text1"/>
              </w:rPr>
              <w:t xml:space="preserve"> modernism</w:t>
            </w:r>
          </w:p>
        </w:tc>
      </w:tr>
      <w:tr w:rsidR="00FF5E02" w:rsidRPr="00FF5E02" w14:paraId="356074C6" w14:textId="77777777" w:rsidTr="00BE4E7B">
        <w:tc>
          <w:tcPr>
            <w:tcW w:w="562" w:type="dxa"/>
            <w:shd w:val="clear" w:color="auto" w:fill="A6A6A6" w:themeFill="background1" w:themeFillShade="A6"/>
          </w:tcPr>
          <w:p w14:paraId="7D9B3A53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smallCaps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7196C67" w14:textId="77777777" w:rsidR="00FF5E02" w:rsidRPr="00402900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02900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Recommended reading for seminars</w:t>
            </w:r>
          </w:p>
        </w:tc>
      </w:tr>
      <w:tr w:rsidR="00FF5E02" w:rsidRPr="00FF5E02" w14:paraId="60FC7947" w14:textId="77777777" w:rsidTr="00BE4E7B">
        <w:tc>
          <w:tcPr>
            <w:tcW w:w="562" w:type="dxa"/>
            <w:shd w:val="clear" w:color="auto" w:fill="F2F2F2" w:themeFill="background1" w:themeFillShade="F2"/>
          </w:tcPr>
          <w:p w14:paraId="506CA319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581024C" w14:textId="5BB0F346" w:rsidR="00402900" w:rsidRDefault="00402900" w:rsidP="00402900">
            <w:pPr>
              <w:ind w:left="1800" w:right="319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Prose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Lost Generation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Ernest Hemingway – “Hills like white Elephants” &amp; “Cat in the Rain”</w:t>
            </w:r>
          </w:p>
          <w:p w14:paraId="2141FFB1" w14:textId="2E71A6A9" w:rsidR="00402900" w:rsidRDefault="00402900" w:rsidP="00402900">
            <w:pPr>
              <w:ind w:left="1800" w:right="319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Prose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Lost Generation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Ernest Hemingway – “Snows of Kilimanjaro”</w:t>
            </w:r>
          </w:p>
          <w:p w14:paraId="7BFAFA38" w14:textId="59138041" w:rsidR="00402900" w:rsidRDefault="00402900" w:rsidP="00402900">
            <w:pPr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Prose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Lost Generation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 F. Scott Fitzgerald - “Winter Dreams”</w:t>
            </w:r>
          </w:p>
          <w:p w14:paraId="665E3D23" w14:textId="5C2C15CD" w:rsidR="00402900" w:rsidRDefault="00402900" w:rsidP="00402900">
            <w:pPr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Prose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Lost Generation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William Faulkner – “That Evening Sun” </w:t>
            </w:r>
          </w:p>
          <w:p w14:paraId="485C5F3A" w14:textId="224D51A9" w:rsidR="00402900" w:rsidRDefault="00402900" w:rsidP="00402900">
            <w:pPr>
              <w:ind w:left="720" w:righ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Poetry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cummings &amp; William Carlos Williams Selection of Short Poems</w:t>
            </w:r>
          </w:p>
          <w:p w14:paraId="1ABE030C" w14:textId="0B42815C" w:rsidR="00402900" w:rsidRDefault="00402900" w:rsidP="00402900">
            <w:pPr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Poetry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Ezra Pound – “In a Station of the Metro”, “A Pact”; Wallace Stevens “Thirteen Ways of Looking at a Blackbird”, “The Snow Man”</w:t>
            </w:r>
          </w:p>
          <w:p w14:paraId="0687A813" w14:textId="11696C68" w:rsidR="00402900" w:rsidRDefault="00402900" w:rsidP="00402900">
            <w:pPr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Poetry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T.S. Eliot: “The Love Song of J. Alfred Prufrock”</w:t>
            </w:r>
          </w:p>
          <w:p w14:paraId="1D4783AC" w14:textId="2BB5455A" w:rsidR="00402900" w:rsidRDefault="00402900" w:rsidP="00402900">
            <w:pPr>
              <w:tabs>
                <w:tab w:val="left" w:pos="720"/>
              </w:tabs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Harlem Renaissance &amp; African-American Modern</w:t>
            </w:r>
            <w:r w:rsidR="00C059C2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Langston Hughes – “Theme for English B”, “Dream Deferred”, “The Negro Speaks of Rivers”;</w:t>
            </w:r>
          </w:p>
          <w:p w14:paraId="5B931BC0" w14:textId="2E8A599E" w:rsidR="00402900" w:rsidRDefault="00402900" w:rsidP="00402900">
            <w:pPr>
              <w:tabs>
                <w:tab w:val="left" w:pos="720"/>
              </w:tabs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Harlem Renaissance &amp; African-American Modern</w:t>
            </w:r>
            <w:r w:rsidR="00C059C2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Claude McKay: “America”, “The Harlem Dancer” </w:t>
            </w:r>
          </w:p>
          <w:p w14:paraId="359C6C6B" w14:textId="5F72099D" w:rsidR="00402900" w:rsidRDefault="00402900" w:rsidP="00402900">
            <w:pPr>
              <w:tabs>
                <w:tab w:val="left" w:pos="720"/>
              </w:tabs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Modernist Criticism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T.S. Eliot “Tradition and the Individual Talent” </w:t>
            </w:r>
          </w:p>
          <w:p w14:paraId="5464138E" w14:textId="77777777" w:rsidR="00402900" w:rsidRDefault="00402900" w:rsidP="00402900">
            <w:pPr>
              <w:tabs>
                <w:tab w:val="left" w:pos="720"/>
              </w:tabs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 w:rsidRPr="00402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Modernist Criticism: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Ezra Pound “A Retrospect” </w:t>
            </w:r>
          </w:p>
          <w:p w14:paraId="737146AB" w14:textId="68DE1443" w:rsidR="00402900" w:rsidRDefault="00402900" w:rsidP="00402900">
            <w:pPr>
              <w:tabs>
                <w:tab w:val="left" w:pos="720"/>
              </w:tabs>
              <w:ind w:left="1710" w:right="319" w:hanging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Modernist Drama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Tennessee Williams - “The Glass Menagerie” (&amp; “The Catastrophe of Success)</w:t>
            </w:r>
          </w:p>
          <w:p w14:paraId="72B9E7BF" w14:textId="6CFF4F74" w:rsidR="00FF5E02" w:rsidRPr="00FF5E02" w:rsidRDefault="00FF5E02" w:rsidP="00FF5E02">
            <w:pPr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F5E02" w:rsidRPr="00FF5E02" w14:paraId="5BFA89B5" w14:textId="77777777" w:rsidTr="00BE4E7B">
        <w:tc>
          <w:tcPr>
            <w:tcW w:w="562" w:type="dxa"/>
            <w:shd w:val="clear" w:color="auto" w:fill="A6A6A6" w:themeFill="background1" w:themeFillShade="A6"/>
          </w:tcPr>
          <w:p w14:paraId="50C59267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smallCaps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68E4BB0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FF5E02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Education style</w:t>
            </w:r>
          </w:p>
        </w:tc>
      </w:tr>
      <w:tr w:rsidR="00FF5E02" w:rsidRPr="00FF5E02" w14:paraId="19D0DD51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581DEBD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4AC769" w14:textId="77777777" w:rsidR="00FF5E02" w:rsidRPr="00FF5E02" w:rsidRDefault="00FF5E02" w:rsidP="00FF5E0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color w:val="000000" w:themeColor="text1"/>
              </w:rPr>
              <w:t>Lecture, discussion (group works), seminar presentations</w:t>
            </w:r>
          </w:p>
        </w:tc>
      </w:tr>
      <w:tr w:rsidR="00FF5E02" w:rsidRPr="00FF5E02" w14:paraId="251F2697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C71B8D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D78FA16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Final </w:t>
            </w:r>
            <w:proofErr w:type="spellStart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>written</w:t>
            </w:r>
            <w:proofErr w:type="spellEnd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exam 60% + </w:t>
            </w:r>
            <w:proofErr w:type="spellStart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>seminar</w:t>
            </w:r>
            <w:proofErr w:type="spellEnd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>paper</w:t>
            </w:r>
            <w:proofErr w:type="spellEnd"/>
            <w:r w:rsidRPr="00FF5E0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40%</w:t>
            </w:r>
          </w:p>
        </w:tc>
      </w:tr>
      <w:tr w:rsidR="00FF5E02" w:rsidRPr="00FF5E02" w14:paraId="7A3F632D" w14:textId="77777777" w:rsidTr="00BE4E7B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718276D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smallCaps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4AD5FC2" w14:textId="77777777" w:rsidR="00FF5E02" w:rsidRPr="00FF5E02" w:rsidRDefault="00FF5E02" w:rsidP="00FF5E0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5E02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</w:tr>
    </w:tbl>
    <w:p w14:paraId="6CCC9D0C" w14:textId="77777777" w:rsidR="00FF5E02" w:rsidRPr="00FF5E02" w:rsidRDefault="00FF5E02" w:rsidP="00FF5E02">
      <w:pPr>
        <w:spacing w:after="0" w:line="240" w:lineRule="auto"/>
        <w:jc w:val="both"/>
        <w:rPr>
          <w:rFonts w:ascii="Arial Narrow" w:hAnsi="Arial Narrow" w:cs="Arial"/>
          <w:smallCaps/>
          <w:color w:val="5A5A5A" w:themeColor="text1" w:themeTint="A5"/>
          <w:sz w:val="16"/>
          <w:szCs w:val="16"/>
          <w:lang w:val="en-GB"/>
        </w:rPr>
      </w:pPr>
    </w:p>
    <w:p w14:paraId="00B1BE30" w14:textId="77777777" w:rsidR="00FF5E02" w:rsidRPr="00FF5E02" w:rsidRDefault="00FF5E02" w:rsidP="00FF5E02">
      <w:pPr>
        <w:spacing w:after="160" w:line="259" w:lineRule="auto"/>
        <w:rPr>
          <w:lang w:val="en-GB"/>
        </w:rPr>
      </w:pPr>
    </w:p>
    <w:p w14:paraId="3DD9EF69" w14:textId="77777777" w:rsidR="008E3D9A" w:rsidRDefault="008E3D9A"/>
    <w:sectPr w:rsidR="008E3D9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F5E02"/>
    <w:rsid w:val="00045754"/>
    <w:rsid w:val="00062DAE"/>
    <w:rsid w:val="000654C2"/>
    <w:rsid w:val="00091C64"/>
    <w:rsid w:val="000B367A"/>
    <w:rsid w:val="000C47F2"/>
    <w:rsid w:val="000F5675"/>
    <w:rsid w:val="00173DB0"/>
    <w:rsid w:val="001A2719"/>
    <w:rsid w:val="0025664E"/>
    <w:rsid w:val="0038506A"/>
    <w:rsid w:val="00402900"/>
    <w:rsid w:val="00432CBC"/>
    <w:rsid w:val="00432D14"/>
    <w:rsid w:val="00443921"/>
    <w:rsid w:val="004A1952"/>
    <w:rsid w:val="004A1AC6"/>
    <w:rsid w:val="005D0EF4"/>
    <w:rsid w:val="00687AF5"/>
    <w:rsid w:val="006C3EDD"/>
    <w:rsid w:val="006C7CFC"/>
    <w:rsid w:val="007414B8"/>
    <w:rsid w:val="007C35F6"/>
    <w:rsid w:val="008E3D9A"/>
    <w:rsid w:val="00970A20"/>
    <w:rsid w:val="009D2A49"/>
    <w:rsid w:val="009E3A75"/>
    <w:rsid w:val="00AD01FC"/>
    <w:rsid w:val="00B01083"/>
    <w:rsid w:val="00B10EE4"/>
    <w:rsid w:val="00B36D9F"/>
    <w:rsid w:val="00BA7C65"/>
    <w:rsid w:val="00BB482F"/>
    <w:rsid w:val="00C059C2"/>
    <w:rsid w:val="00C47ACA"/>
    <w:rsid w:val="00CB6EF5"/>
    <w:rsid w:val="00D11A82"/>
    <w:rsid w:val="00E228DA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96E3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0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0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dernamericanpoetry.org/dashbo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5517</Characters>
  <Application>Microsoft Office Word</Application>
  <DocSecurity>0</DocSecurity>
  <Lines>153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Sony</cp:lastModifiedBy>
  <cp:revision>3</cp:revision>
  <dcterms:created xsi:type="dcterms:W3CDTF">2020-02-09T09:53:00Z</dcterms:created>
  <dcterms:modified xsi:type="dcterms:W3CDTF">2020-02-10T08:52:00Z</dcterms:modified>
</cp:coreProperties>
</file>