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F214" w14:textId="1115129F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14:paraId="720D9EB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2A979769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0F8DB356" w14:textId="237F6E13" w:rsidR="00B0090F" w:rsidRPr="00C94DCA" w:rsidRDefault="003A7D48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4A25A536" w14:textId="44EA0EF7" w:rsidR="00B0090F" w:rsidRPr="00647103" w:rsidRDefault="00293B9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AMERICAN STUDIES</w:t>
            </w:r>
          </w:p>
          <w:p w14:paraId="213FE096" w14:textId="5693964E" w:rsidR="00B0090F" w:rsidRPr="00C94DCA" w:rsidRDefault="003A7D48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3A7D48">
              <w:rPr>
                <w:rStyle w:val="SubtleReference"/>
                <w:rFonts w:ascii="Arial Narrow" w:hAnsi="Arial Narrow" w:cs="Arial"/>
                <w:color w:val="FFFFFF" w:themeColor="background1"/>
              </w:rPr>
              <w:t>2nd</w:t>
            </w:r>
            <w:r w:rsidRPr="003A7D48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81931" w:rsidRPr="00B81931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B81931" w:rsidRPr="00B8193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B81931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14:paraId="14986479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1E57FEAA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35533AD1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5043AFE" w14:textId="0B63C0CC" w:rsidR="00B0090F" w:rsidRPr="00C94DCA" w:rsidRDefault="009D6AE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AMERICAN </w:t>
            </w:r>
            <w:proofErr w:type="gramStart"/>
            <w:r w:rsidR="003A7D48">
              <w:rPr>
                <w:rStyle w:val="SubtleReference"/>
                <w:rFonts w:ascii="Arial Narrow" w:hAnsi="Arial Narrow" w:cs="Arial"/>
                <w:b/>
                <w:color w:val="FF0000"/>
              </w:rPr>
              <w:t>REGIONALISM  (</w:t>
            </w:r>
            <w:proofErr w:type="gramEnd"/>
            <w:r w:rsidR="003A7D48">
              <w:rPr>
                <w:rStyle w:val="SubtleReference"/>
                <w:rFonts w:ascii="Arial Narrow" w:hAnsi="Arial Narrow" w:cs="Arial"/>
                <w:b/>
                <w:color w:val="FF0000"/>
              </w:rPr>
              <w:t>THE AMERICAN WEST)</w:t>
            </w:r>
          </w:p>
        </w:tc>
      </w:tr>
      <w:tr w:rsidR="00B0090F" w:rsidRPr="00C94DCA" w14:paraId="42E5771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D171D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07F8EC" w14:textId="26C50868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14:paraId="6BA1904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815681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8464A69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7760B4F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282652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F52D276" w14:textId="09352E9F" w:rsidR="00B0090F" w:rsidRPr="00C94DCA" w:rsidRDefault="003A7D48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2</w:t>
            </w:r>
            <w:r w:rsidR="00EE70AA"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M</w:t>
            </w:r>
            <w:r w:rsidRPr="003A7D48">
              <w:rPr>
                <w:color w:val="FF0000"/>
                <w:lang w:val="fr-FR"/>
              </w:rPr>
              <w:t>aster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5988408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0B0EC4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7426778" w14:textId="4191F66A" w:rsidR="00B0090F" w:rsidRPr="00C94DCA" w:rsidRDefault="003A7D48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</w:rPr>
              <w:t>2nd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D6AE1">
              <w:rPr>
                <w:rFonts w:ascii="Arial Narrow" w:hAnsi="Arial Narrow" w:cs="Arial"/>
                <w:color w:val="FF0000"/>
              </w:rPr>
              <w:t>2</w:t>
            </w:r>
            <w:r w:rsidR="009D6AE1" w:rsidRPr="009D6AE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9D6AE1">
              <w:rPr>
                <w:rFonts w:ascii="Arial Narrow" w:hAnsi="Arial Narrow" w:cs="Arial"/>
                <w:color w:val="FF0000"/>
              </w:rPr>
              <w:t xml:space="preserve"> </w:t>
            </w:r>
            <w:r w:rsidR="009D6AE1" w:rsidRPr="009D6AE1">
              <w:rPr>
                <w:rFonts w:ascii="Arial Narrow" w:hAnsi="Arial Narrow" w:cs="Arial"/>
              </w:rPr>
              <w:t>s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emester</w:t>
            </w:r>
          </w:p>
        </w:tc>
      </w:tr>
      <w:tr w:rsidR="00B0090F" w:rsidRPr="00C94DCA" w14:paraId="5AF685F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B1F93DE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57880EA" w14:textId="0B1F3880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14:paraId="073B433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E7E69B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A962AD" w14:textId="07058634" w:rsidR="00B0090F" w:rsidRPr="00C94DCA" w:rsidRDefault="003A7D48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3A7D48">
              <w:rPr>
                <w:rFonts w:ascii="Arial Narrow" w:hAnsi="Arial Narrow" w:cs="Arial"/>
                <w:color w:val="FF0000"/>
              </w:rPr>
              <w:t xml:space="preserve">2 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3EC87F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8F6470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30CD808" w14:textId="12F1CA78" w:rsidR="00B0090F" w:rsidRPr="00C94DCA" w:rsidRDefault="005F5BBB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Irina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Chirica</w:t>
            </w:r>
            <w:proofErr w:type="spellEnd"/>
          </w:p>
        </w:tc>
      </w:tr>
      <w:tr w:rsidR="00B0090F" w:rsidRPr="00C94DCA" w14:paraId="27C37CB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CCA6E5F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F901B5" w14:textId="69B0B709" w:rsidR="00B0090F" w:rsidRPr="00C94DCA" w:rsidRDefault="005F5BBB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Irina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Chirica</w:t>
            </w:r>
            <w:proofErr w:type="spellEnd"/>
          </w:p>
        </w:tc>
      </w:tr>
      <w:tr w:rsidR="00B0090F" w:rsidRPr="00C94DCA" w14:paraId="46A823C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194F51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A8A4C91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197C0BB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B715F9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76DC71B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9D6AE1" w14:paraId="416E68E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DA01BC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481611D" w14:textId="5BBA4C9D" w:rsidR="00B0090F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1519F995" w14:textId="77B00F0C" w:rsidR="0002644C" w:rsidRPr="00C94DCA" w:rsidRDefault="0002644C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2644C">
              <w:rPr>
                <w:rFonts w:ascii="Arial Narrow" w:hAnsi="Arial Narrow" w:cs="Arial"/>
                <w:lang w:val="ro-RO"/>
              </w:rPr>
              <w:t xml:space="preserve">Contextual approach to multidisciplinary notions and methods in </w:t>
            </w:r>
            <w:r>
              <w:rPr>
                <w:rFonts w:ascii="Arial Narrow" w:hAnsi="Arial Narrow" w:cs="Arial"/>
                <w:lang w:val="ro-RO"/>
              </w:rPr>
              <w:t>the study of American Regionslism</w:t>
            </w:r>
            <w:r w:rsidRPr="0002644C">
              <w:rPr>
                <w:rFonts w:ascii="Arial Narrow" w:hAnsi="Arial Narrow" w:cs="Arial"/>
                <w:lang w:val="ro-RO"/>
              </w:rPr>
              <w:t>. Description and presentation of fundamental concepts, theories and methods and of they way in which they apply to various cultural phenomena.</w:t>
            </w:r>
          </w:p>
          <w:p w14:paraId="17C29C50" w14:textId="462F3A52" w:rsidR="00B0090F" w:rsidRDefault="00293B9F" w:rsidP="00293B9F">
            <w:pPr>
              <w:pStyle w:val="ListParagraph"/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C</w:t>
            </w:r>
            <w:r w:rsidR="00814805" w:rsidRPr="00293B9F">
              <w:rPr>
                <w:rFonts w:ascii="Arial Narrow" w:hAnsi="Arial Narrow" w:cs="Arial"/>
                <w:b/>
                <w:lang w:val="ro-RO"/>
              </w:rPr>
              <w:t>ourse-specific competences</w:t>
            </w:r>
            <w:r w:rsidR="00B0090F" w:rsidRPr="00293B9F">
              <w:rPr>
                <w:rFonts w:ascii="Arial Narrow" w:hAnsi="Arial Narrow" w:cs="Arial"/>
                <w:lang w:val="ro-RO"/>
              </w:rPr>
              <w:t>:</w:t>
            </w:r>
          </w:p>
          <w:p w14:paraId="57FDDF5A" w14:textId="5F4D3386" w:rsidR="00C94DCA" w:rsidRPr="00B81931" w:rsidRDefault="0002644C" w:rsidP="0002644C">
            <w:pPr>
              <w:pStyle w:val="ListParagraph"/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02644C">
              <w:rPr>
                <w:rFonts w:ascii="Arial Narrow" w:hAnsi="Arial Narrow" w:cs="Arial"/>
                <w:lang w:val="ro-RO"/>
              </w:rPr>
              <w:t xml:space="preserve">The development of the ability to apply fundamental knowledge in the area of </w:t>
            </w:r>
            <w:r>
              <w:rPr>
                <w:rFonts w:ascii="Arial Narrow" w:hAnsi="Arial Narrow" w:cs="Arial"/>
                <w:lang w:val="ro-RO"/>
              </w:rPr>
              <w:t>Regionalism, through</w:t>
            </w:r>
            <w:r w:rsidRPr="0002644C">
              <w:rPr>
                <w:rFonts w:ascii="Arial Narrow" w:hAnsi="Arial Narrow" w:cs="Arial"/>
                <w:lang w:val="ro-RO"/>
              </w:rPr>
              <w:t xml:space="preserve"> interdisciplinary principles.</w:t>
            </w:r>
          </w:p>
        </w:tc>
      </w:tr>
      <w:tr w:rsidR="00B0090F" w:rsidRPr="00C94DCA" w14:paraId="2F4F3CD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3BAF3EE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62CCA06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63564F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DDDFD4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66A602D" w14:textId="4A620DA6" w:rsidR="00C94DCA" w:rsidRPr="00C94DCA" w:rsidRDefault="00293B9F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Knowledge of fu</w:t>
            </w:r>
            <w:r w:rsidR="000C097A">
              <w:rPr>
                <w:rFonts w:ascii="Arial Narrow" w:hAnsi="Arial Narrow" w:cs="Arial"/>
                <w:lang w:val="ro-RO"/>
              </w:rPr>
              <w:t>n</w:t>
            </w:r>
            <w:r>
              <w:rPr>
                <w:rFonts w:ascii="Arial Narrow" w:hAnsi="Arial Narrow" w:cs="Arial"/>
                <w:lang w:val="ro-RO"/>
              </w:rPr>
              <w:t>damental trends and domains of American</w:t>
            </w:r>
            <w:r w:rsidR="0002644C">
              <w:rPr>
                <w:rFonts w:ascii="Arial Narrow" w:hAnsi="Arial Narrow" w:cs="Arial"/>
                <w:lang w:val="ro-RO"/>
              </w:rPr>
              <w:t xml:space="preserve"> regionalism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70A28781" w14:textId="5A5E3125" w:rsidR="00C8093F" w:rsidRPr="00C94DCA" w:rsidRDefault="00293B9F" w:rsidP="00293B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Knowledge of key moments and events and the ability to put them on a map and </w:t>
            </w:r>
            <w:r w:rsidR="00B81931">
              <w:rPr>
                <w:rFonts w:ascii="Arial Narrow" w:hAnsi="Arial Narrow" w:cs="Arial"/>
                <w:lang w:val="ro-RO"/>
              </w:rPr>
              <w:t>i</w:t>
            </w:r>
            <w:r>
              <w:rPr>
                <w:rFonts w:ascii="Arial Narrow" w:hAnsi="Arial Narrow" w:cs="Arial"/>
                <w:lang w:val="ro-RO"/>
              </w:rPr>
              <w:t>ntegrate them in a model of interpretation.</w:t>
            </w:r>
          </w:p>
        </w:tc>
      </w:tr>
      <w:tr w:rsidR="00B0090F" w:rsidRPr="00C94DCA" w14:paraId="18A8C11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6E1570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F396A1D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8638C5" w14:paraId="232F9FC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D054290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988F2BD" w14:textId="4DC8D18C" w:rsidR="000C097A" w:rsidRDefault="000C097A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C097A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Place versus region. Internal versus external regionalism.</w:t>
            </w:r>
            <w:r w:rsidRPr="000C097A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 xml:space="preserve"> American geographical and cultural regions: New England, the South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.</w:t>
            </w:r>
          </w:p>
          <w:p w14:paraId="4CA0D2D4" w14:textId="36030F0E" w:rsidR="003D710D" w:rsidRDefault="000C097A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The West. The smaller Wests inside the larger West.</w:t>
            </w:r>
            <w:r w:rsidR="00D873F6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 xml:space="preserve"> Regional difference and variation.</w:t>
            </w:r>
          </w:p>
          <w:p w14:paraId="0798B67C" w14:textId="69A53018" w:rsidR="003D710D" w:rsidRDefault="003D710D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Cultural icons, mythical imagination and national character. Manifest Destiny and the American West.</w:t>
            </w:r>
          </w:p>
          <w:p w14:paraId="2C1BBFE7" w14:textId="7027FC8F" w:rsidR="000C097A" w:rsidRDefault="003D710D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 xml:space="preserve">Trends in scholarly interpretation from Frederick Jackson Turner’s </w:t>
            </w:r>
            <w:r w:rsidRPr="00D873F6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The End of the Frontier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 xml:space="preserve"> to New Historicism</w:t>
            </w:r>
            <w:r w:rsidR="00197BF3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="00197BF3" w:rsidRPr="00197BF3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borderland</w:t>
            </w:r>
            <w:r w:rsidR="00197BF3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14:paraId="60B90A5D" w14:textId="047BC308" w:rsidR="003D710D" w:rsidRDefault="00D873F6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Natural monumentalism and its reflection in the Visual Arts: Albert Birstadt and Thomas Moran.</w:t>
            </w:r>
          </w:p>
          <w:p w14:paraId="1AF5C181" w14:textId="4067C920" w:rsidR="00D873F6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The West as an embodiment of the American Dream. The Agrarian Ideal.</w:t>
            </w:r>
          </w:p>
          <w:p w14:paraId="3DDD4399" w14:textId="226AF1AD" w:rsidR="00197BF3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The settlement of the West. The contribution of Thomas Jefferson.</w:t>
            </w:r>
          </w:p>
          <w:p w14:paraId="7BC63CD5" w14:textId="771D5795" w:rsidR="00197BF3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From Land Rushes to planned settlement. A history survey.</w:t>
            </w:r>
          </w:p>
          <w:p w14:paraId="3BB5E5D1" w14:textId="4F2C956A" w:rsidR="00197BF3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Failure of the Agrarian utopia.</w:t>
            </w:r>
          </w:p>
          <w:p w14:paraId="7C6CEC67" w14:textId="65DBC005" w:rsidR="00197BF3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The Western Genre (1) John Ford</w:t>
            </w:r>
          </w:p>
          <w:p w14:paraId="3A6266EB" w14:textId="1D651F75" w:rsidR="00197BF3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The Western Genre (2) Revisionist Westerns</w:t>
            </w:r>
          </w:p>
          <w:p w14:paraId="5D663219" w14:textId="77777777" w:rsidR="00197BF3" w:rsidRPr="00197BF3" w:rsidRDefault="00197BF3" w:rsidP="00197BF3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197BF3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The eradication of The Indian</w:t>
            </w:r>
          </w:p>
          <w:p w14:paraId="5855DE8C" w14:textId="2B6E32C9" w:rsidR="00197BF3" w:rsidRDefault="00197BF3" w:rsidP="00731BE8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ro-RO"/>
              </w:rPr>
              <w:t>Buffalo Bill Cody versus Other Voices, other Wests</w:t>
            </w:r>
          </w:p>
          <w:p w14:paraId="457135F4" w14:textId="64679ED8" w:rsidR="00E721C6" w:rsidRPr="00C94DCA" w:rsidRDefault="008638C5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 w:rsidRPr="008638C5">
              <w:rPr>
                <w:rFonts w:ascii="Arial Narrow" w:hAnsi="Arial Narrow" w:cs="Arial"/>
                <w:lang w:val="ro-RO"/>
              </w:rPr>
              <w:t>Pre</w:t>
            </w:r>
            <w:r>
              <w:rPr>
                <w:rFonts w:ascii="Arial Narrow" w:hAnsi="Arial Narrow" w:cs="Arial"/>
                <w:lang w:val="ro-RO"/>
              </w:rPr>
              <w:t>paration for the final exam</w:t>
            </w:r>
          </w:p>
        </w:tc>
      </w:tr>
      <w:tr w:rsidR="00B0090F" w:rsidRPr="00C94DCA" w14:paraId="5BF3CD7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511F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B8788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A429F4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31D6D6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7394A32" w14:textId="6DA20D83" w:rsidR="00197BF3" w:rsidRDefault="00197BF3" w:rsidP="0047102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 xml:space="preserve">Goetzmann, William. </w:t>
            </w:r>
            <w:r w:rsidRPr="00197BF3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West of Imagination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University of Oklahoma Press, 2009. Print.</w:t>
            </w:r>
          </w:p>
          <w:p w14:paraId="440193F8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 xml:space="preserve">Limerick, Patricia Nelson. </w:t>
            </w:r>
            <w:r w:rsidRPr="00197BF3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Legacy of Conquest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New York: Norton &amp; Co, 1987.</w:t>
            </w:r>
          </w:p>
          <w:p w14:paraId="0B9673DA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 xml:space="preserve">Slotkin, Richard. </w:t>
            </w:r>
            <w:r w:rsidRPr="00197BF3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Gunfighter Nation: The Myth of the Frontier in Twentieth-Century America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University of Oklahoma Press, 1992. Print.</w:t>
            </w:r>
          </w:p>
          <w:p w14:paraId="25E7351C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 xml:space="preserve">Smith, Henry Nash. </w:t>
            </w:r>
            <w:r w:rsidRPr="00197BF3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Virgin Land: the American West as Symbol and Myth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Harvard University Press, 1970. Print.</w:t>
            </w:r>
          </w:p>
          <w:p w14:paraId="31ED2E84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Tuan, Yi-Fu. “Place: An Experiential Perspective”. In Geographical Review, 65 2, 151-165. Print.</w:t>
            </w:r>
          </w:p>
          <w:p w14:paraId="731E5265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 xml:space="preserve">White, Richard. </w:t>
            </w:r>
            <w:r w:rsidRPr="0002644C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It's Your Misfortune and None of My Own: A History of the American West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Norman: University of Oklahoma Press, 1991. Print.</w:t>
            </w:r>
          </w:p>
          <w:p w14:paraId="6D4BE1BA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lastRenderedPageBreak/>
              <w:t xml:space="preserve">White, Richard and Patricia Nelson Limerick. </w:t>
            </w:r>
            <w:r w:rsidRPr="0002644C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Frontier in American Culture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University of California Press, 1994. Print.</w:t>
            </w:r>
          </w:p>
          <w:p w14:paraId="131F9249" w14:textId="77777777" w:rsidR="00197BF3" w:rsidRPr="00197BF3" w:rsidRDefault="00197BF3" w:rsidP="00197BF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 xml:space="preserve">Wood, Gordon. </w:t>
            </w:r>
            <w:r w:rsidRPr="0002644C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Empire of Liberty</w:t>
            </w:r>
            <w:r w:rsidRPr="00197BF3">
              <w:rPr>
                <w:rFonts w:ascii="Arial Narrow" w:hAnsi="Arial Narrow"/>
                <w:sz w:val="22"/>
                <w:szCs w:val="22"/>
                <w:lang w:val="ro-RO"/>
              </w:rPr>
              <w:t>. Oxford University Press. 2009. Print.</w:t>
            </w:r>
          </w:p>
          <w:p w14:paraId="2C57AADD" w14:textId="49E25C2A" w:rsidR="00DE4E9E" w:rsidRPr="00C94DCA" w:rsidRDefault="00DE4E9E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E4E9E">
              <w:rPr>
                <w:rFonts w:ascii="Arial Narrow" w:hAnsi="Arial Narrow"/>
                <w:sz w:val="22"/>
                <w:szCs w:val="22"/>
                <w:lang w:val="ro-RO"/>
              </w:rPr>
              <w:t>A package of class materials with excerpts from multiple sources, prepared by the teacher for class discussion.</w:t>
            </w:r>
          </w:p>
        </w:tc>
      </w:tr>
      <w:tr w:rsidR="00B0090F" w:rsidRPr="00C94DCA" w14:paraId="668BB5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8E61D9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F0A3B2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624376E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8C3F4B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0ED7F8F" w14:textId="6A663CA5" w:rsidR="00754447" w:rsidRPr="009D6AE1" w:rsidRDefault="00754447" w:rsidP="009D6AE1">
            <w:pPr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6DFB4C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136442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9E269A3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9D6AE1" w14:paraId="6F37160A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CAA5D9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DF94774" w14:textId="6F318744" w:rsidR="009D6AE1" w:rsidRPr="00C94DCA" w:rsidRDefault="009D6AE1" w:rsidP="009D6AE1">
            <w:pPr>
              <w:jc w:val="both"/>
              <w:rPr>
                <w:rFonts w:ascii="Arial Narrow" w:hAnsi="Arial Narrow" w:cs="Arial"/>
                <w:lang w:val="ro-RO"/>
              </w:rPr>
            </w:pPr>
            <w:bookmarkStart w:id="0" w:name="_GoBack"/>
            <w:bookmarkEnd w:id="0"/>
          </w:p>
        </w:tc>
      </w:tr>
      <w:tr w:rsidR="00B0090F" w:rsidRPr="00C94DCA" w14:paraId="1B834F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F5562D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BE7B0B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8BE30F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F81D4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1A45785" w14:textId="572DF4EC" w:rsidR="00B0090F" w:rsidRPr="00C94DCA" w:rsidRDefault="00406EDE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 attendance and text discussions</w:t>
            </w:r>
          </w:p>
        </w:tc>
      </w:tr>
      <w:tr w:rsidR="00B0090F" w:rsidRPr="00C94DCA" w14:paraId="179A838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368DDD9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13CC89" w14:textId="1817F6DD" w:rsidR="00B0090F" w:rsidRPr="00406EDE" w:rsidRDefault="0002644C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F</w:t>
            </w:r>
            <w:r w:rsidR="00406EDE" w:rsidRPr="00406EDE">
              <w:rPr>
                <w:rFonts w:ascii="Arial Narrow" w:hAnsi="Arial Narrow" w:cs="Arial"/>
                <w:color w:val="000000" w:themeColor="text1"/>
                <w:lang w:val="en-US"/>
              </w:rPr>
              <w:t>inal exa</w:t>
            </w:r>
            <w:r w:rsidR="00406EDE">
              <w:rPr>
                <w:rFonts w:ascii="Arial Narrow" w:hAnsi="Arial Narrow" w:cs="Arial"/>
                <w:color w:val="000000" w:themeColor="text1"/>
                <w:lang w:val="en-US"/>
              </w:rPr>
              <w:t>m</w:t>
            </w:r>
          </w:p>
        </w:tc>
      </w:tr>
      <w:tr w:rsidR="00B0090F" w:rsidRPr="00C94DCA" w14:paraId="5A744FA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DB4B121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7FC05B9" w14:textId="5BEB4078" w:rsidR="00B0090F" w:rsidRPr="00C94DCA" w:rsidRDefault="00406EDE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3B211535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0B42"/>
    <w:multiLevelType w:val="hybridMultilevel"/>
    <w:tmpl w:val="D3F63A5E"/>
    <w:lvl w:ilvl="0" w:tplc="4976C6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42966"/>
    <w:multiLevelType w:val="hybridMultilevel"/>
    <w:tmpl w:val="83A837CE"/>
    <w:lvl w:ilvl="0" w:tplc="E7E608CA">
      <w:start w:val="1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0090F"/>
    <w:rsid w:val="0002644C"/>
    <w:rsid w:val="00026751"/>
    <w:rsid w:val="00071C0E"/>
    <w:rsid w:val="000A5E76"/>
    <w:rsid w:val="000C097A"/>
    <w:rsid w:val="000E2602"/>
    <w:rsid w:val="000F4011"/>
    <w:rsid w:val="0016725D"/>
    <w:rsid w:val="00197BF3"/>
    <w:rsid w:val="00252F1A"/>
    <w:rsid w:val="00254D05"/>
    <w:rsid w:val="00293B9F"/>
    <w:rsid w:val="002A1706"/>
    <w:rsid w:val="002B6A6C"/>
    <w:rsid w:val="003A7D48"/>
    <w:rsid w:val="003D3158"/>
    <w:rsid w:val="003D710D"/>
    <w:rsid w:val="00406EDE"/>
    <w:rsid w:val="00427C2F"/>
    <w:rsid w:val="00471027"/>
    <w:rsid w:val="004D0D05"/>
    <w:rsid w:val="005F5BBB"/>
    <w:rsid w:val="00647103"/>
    <w:rsid w:val="006852DA"/>
    <w:rsid w:val="00686349"/>
    <w:rsid w:val="00696887"/>
    <w:rsid w:val="006D131C"/>
    <w:rsid w:val="00754447"/>
    <w:rsid w:val="0075756B"/>
    <w:rsid w:val="008003E6"/>
    <w:rsid w:val="00814805"/>
    <w:rsid w:val="008638C5"/>
    <w:rsid w:val="008871DD"/>
    <w:rsid w:val="008D56B5"/>
    <w:rsid w:val="009472FD"/>
    <w:rsid w:val="009A063F"/>
    <w:rsid w:val="009C308C"/>
    <w:rsid w:val="009D6AE1"/>
    <w:rsid w:val="009E186A"/>
    <w:rsid w:val="00AA735D"/>
    <w:rsid w:val="00B0090F"/>
    <w:rsid w:val="00B81931"/>
    <w:rsid w:val="00BD750F"/>
    <w:rsid w:val="00C8093F"/>
    <w:rsid w:val="00C94DCA"/>
    <w:rsid w:val="00CA0D08"/>
    <w:rsid w:val="00D873F6"/>
    <w:rsid w:val="00DB1C6A"/>
    <w:rsid w:val="00DC554A"/>
    <w:rsid w:val="00DE4E9E"/>
    <w:rsid w:val="00E721C6"/>
    <w:rsid w:val="00EC7D9B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58AF"/>
  <w15:docId w15:val="{F46194B6-91BE-482C-BE11-90C4D4A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Windows User</cp:lastModifiedBy>
  <cp:revision>11</cp:revision>
  <dcterms:created xsi:type="dcterms:W3CDTF">2019-11-27T08:59:00Z</dcterms:created>
  <dcterms:modified xsi:type="dcterms:W3CDTF">2019-12-01T14:24:00Z</dcterms:modified>
</cp:coreProperties>
</file>