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E2CA9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1E2CA9">
        <w:rPr>
          <w:rStyle w:val="SubtleReference"/>
          <w:rFonts w:ascii="Arial Narrow" w:hAnsi="Arial Narrow" w:cs="Arial"/>
        </w:rPr>
        <w:t>Descriptif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du </w:t>
      </w:r>
      <w:proofErr w:type="spellStart"/>
      <w:r w:rsidRPr="001E2CA9">
        <w:rPr>
          <w:rStyle w:val="SubtleReference"/>
          <w:rFonts w:ascii="Arial Narrow" w:hAnsi="Arial Narrow" w:cs="Arial"/>
        </w:rPr>
        <w:t>cours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</w:t>
      </w:r>
    </w:p>
    <w:p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7649A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E2CA9" w:rsidRDefault="007649A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programme de </w:t>
            </w:r>
            <w:r w:rsidR="00BD46C9"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:rsidR="00B0090F" w:rsidRPr="001E2CA9" w:rsidRDefault="00FF1B2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LANGUES MODERNES APPLIQUEES</w:t>
            </w:r>
          </w:p>
          <w:p w:rsidR="00B0090F" w:rsidRPr="00FF1B29" w:rsidRDefault="007649AF" w:rsidP="00FF1B29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1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vertAlign w:val="superscript"/>
                <w:lang w:val="fr-FR"/>
              </w:rPr>
              <w:t xml:space="preserve">RE 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ANNĖE</w:t>
            </w:r>
            <w:r w:rsidR="00B0090F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B0090F" w:rsidRPr="00FF1B29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1</w:t>
            </w:r>
            <w:r w:rsidR="00BD46C9" w:rsidRPr="00FF1B29"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CA0D08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FF1B2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2A429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E2CA9" w:rsidRDefault="00FF1B29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LES LANGUES DE SPECIALITE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3A290D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D3950">
              <w:rPr>
                <w:rFonts w:ascii="Arial Narrow" w:hAnsi="Arial Narrow"/>
              </w:rPr>
              <w:t>LM1712_F</w:t>
            </w:r>
          </w:p>
        </w:tc>
      </w:tr>
      <w:tr w:rsidR="00B0090F" w:rsidRPr="007649A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>présence obligatoire aux séminaires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er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7649A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F1B29" w:rsidP="002B6A6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FF1B2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re</w:t>
            </w:r>
            <w:r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1E2CA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3A290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7649A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FF1B29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3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heures de cours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séminaire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 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FF1B2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F1B2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81480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FF1B29">
              <w:rPr>
                <w:rFonts w:ascii="Arial Narrow" w:hAnsi="Arial Narrow" w:cs="Arial"/>
                <w:color w:val="FF0000"/>
                <w:lang w:val="fr-FR"/>
              </w:rPr>
              <w:t>Niveau avancé</w:t>
            </w:r>
            <w:r w:rsidR="00814805" w:rsidRP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FF1B2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7649A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  <w:lang w:val="fr-FR"/>
              </w:rPr>
              <w:t>ompétences</w:t>
            </w:r>
            <w:proofErr w:type="spellEnd"/>
            <w:r w:rsidRPr="006D3950">
              <w:rPr>
                <w:rFonts w:ascii="Arial Narrow" w:hAnsi="Arial Narrow"/>
                <w:lang w:val="fr-FR"/>
              </w:rPr>
              <w:t xml:space="preserve"> générales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5B5F38" w:rsidRPr="006D3950" w:rsidRDefault="005B5F38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A9203D" w:rsidRPr="006D3950">
              <w:rPr>
                <w:rFonts w:ascii="Arial Narrow" w:hAnsi="Arial Narrow" w:cs="Arial"/>
                <w:lang w:val="ro-RO"/>
              </w:rPr>
              <w:t>Communication efficace en français, dans divers contextes professionnels;</w:t>
            </w:r>
          </w:p>
          <w:p w:rsidR="005B5F38" w:rsidRPr="006D3950" w:rsidRDefault="005B5F38" w:rsidP="00A9203D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B0090F" w:rsidRPr="006D3950" w:rsidRDefault="00BD46C9" w:rsidP="00A9203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</w:rPr>
              <w:t>ompétences</w:t>
            </w:r>
            <w:proofErr w:type="spellEnd"/>
            <w:r w:rsidRPr="006D3950">
              <w:rPr>
                <w:rFonts w:ascii="Arial Narrow" w:hAnsi="Arial Narrow"/>
              </w:rPr>
              <w:t xml:space="preserve"> </w:t>
            </w:r>
            <w:proofErr w:type="spellStart"/>
            <w:r w:rsidRPr="006D3950">
              <w:rPr>
                <w:rFonts w:ascii="Arial Narrow" w:hAnsi="Arial Narrow"/>
              </w:rPr>
              <w:t>spécifiques</w:t>
            </w:r>
            <w:proofErr w:type="spellEnd"/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524F05" w:rsidRPr="006D3950" w:rsidRDefault="005B5F38" w:rsidP="00A9203D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  <w:lang w:val="ro-RO"/>
              </w:rPr>
            </w:pPr>
            <w:r w:rsidRPr="006D3950">
              <w:rPr>
                <w:rFonts w:ascii="Arial Narrow" w:hAnsi="Arial Narrow" w:cs="Arial"/>
                <w:noProof/>
                <w:lang w:val="ro-RO"/>
              </w:rPr>
              <w:t>La description de divers langages spéci</w:t>
            </w:r>
            <w:r w:rsidR="00A9203D" w:rsidRPr="006D3950">
              <w:rPr>
                <w:rFonts w:ascii="Arial Narrow" w:hAnsi="Arial Narrow" w:cs="Arial"/>
                <w:noProof/>
                <w:lang w:val="ro-RO"/>
              </w:rPr>
              <w:t>a</w:t>
            </w:r>
            <w:r w:rsidRPr="006D3950">
              <w:rPr>
                <w:rFonts w:ascii="Arial Narrow" w:hAnsi="Arial Narrow" w:cs="Arial"/>
                <w:noProof/>
                <w:lang w:val="ro-RO"/>
              </w:rPr>
              <w:t>lisés et leur utilisation en vue de traduire des textes spécialisés</w:t>
            </w:r>
          </w:p>
          <w:p w:rsidR="00A9203D" w:rsidRPr="006D3950" w:rsidRDefault="00A9203D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 xml:space="preserve">L’identification, la </w:t>
            </w:r>
            <w:r w:rsidR="0071633E">
              <w:rPr>
                <w:rFonts w:ascii="Arial Narrow" w:hAnsi="Arial Narrow" w:cs="Arial"/>
                <w:lang w:val="fr-FR"/>
              </w:rPr>
              <w:t xml:space="preserve">maîtrise </w:t>
            </w:r>
            <w:r w:rsidRPr="006D3950">
              <w:rPr>
                <w:rFonts w:ascii="Arial Narrow" w:hAnsi="Arial Narrow" w:cs="Arial"/>
                <w:lang w:val="ro-RO"/>
              </w:rPr>
              <w:t>et l’utilisation de divers registres de langues et de certaines terminologies spécifiques</w:t>
            </w:r>
          </w:p>
          <w:p w:rsidR="00A9203D" w:rsidRPr="006D3950" w:rsidRDefault="00A9203D" w:rsidP="00A9203D">
            <w:pPr>
              <w:ind w:left="720"/>
              <w:rPr>
                <w:rFonts w:ascii="Arial Narrow" w:hAnsi="Arial Narrow" w:cs="Arial"/>
                <w:noProof/>
                <w:lang w:val="ro-RO"/>
              </w:rPr>
            </w:pPr>
          </w:p>
          <w:p w:rsidR="00C94DCA" w:rsidRPr="00801CEB" w:rsidRDefault="00C94DCA" w:rsidP="005B5F38">
            <w:pPr>
              <w:ind w:left="720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AD2E4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3ECD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Les étudiants seront capables </w:t>
            </w:r>
            <w:r w:rsidR="00663ECD">
              <w:rPr>
                <w:rFonts w:ascii="Arial Narrow" w:hAnsi="Arial Narrow" w:cs="Arial"/>
                <w:lang w:val="ro-RO"/>
              </w:rPr>
              <w:t>: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D’expliquer différents concepts de spécialité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D’exploiter un corpus diversifié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D’utiliser </w:t>
            </w:r>
            <w:r w:rsidR="0071633E">
              <w:rPr>
                <w:rFonts w:ascii="Arial Narrow" w:hAnsi="Arial Narrow" w:cs="Arial"/>
                <w:lang w:val="ro-RO"/>
              </w:rPr>
              <w:t xml:space="preserve"> les </w:t>
            </w:r>
            <w:r>
              <w:rPr>
                <w:rFonts w:ascii="Arial Narrow" w:hAnsi="Arial Narrow" w:cs="Arial"/>
                <w:lang w:val="ro-RO"/>
              </w:rPr>
              <w:t xml:space="preserve">TICE et </w:t>
            </w:r>
            <w:r w:rsidR="0071633E">
              <w:rPr>
                <w:rFonts w:ascii="Arial Narrow" w:hAnsi="Arial Narrow" w:cs="Arial"/>
                <w:lang w:val="ro-RO"/>
              </w:rPr>
              <w:t xml:space="preserve">les </w:t>
            </w:r>
            <w:r>
              <w:rPr>
                <w:rFonts w:ascii="Arial Narrow" w:hAnsi="Arial Narrow" w:cs="Arial"/>
                <w:lang w:val="ro-RO"/>
              </w:rPr>
              <w:t>différentes ressources lexicographiques traditionnelles et électroniques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 reconnaître un domaine spécialisé de même qu’un registre de langue (français familier, français</w:t>
            </w:r>
            <w:r w:rsidR="0071633E">
              <w:rPr>
                <w:rFonts w:ascii="Arial Narrow" w:hAnsi="Arial Narrow" w:cs="Arial"/>
                <w:lang w:val="ro-RO"/>
              </w:rPr>
              <w:t xml:space="preserve"> argotique, français des cités) et</w:t>
            </w:r>
            <w:r>
              <w:rPr>
                <w:rFonts w:ascii="Arial Narrow" w:hAnsi="Arial Narrow" w:cs="Arial"/>
                <w:lang w:val="ro-RO"/>
              </w:rPr>
              <w:t xml:space="preserve"> de réaliser l’inventaire des termes du domaine en question comme étape dans la réalisation de traductions spécialisées.</w:t>
            </w:r>
          </w:p>
          <w:p w:rsidR="00A9203D" w:rsidRPr="006D3950" w:rsidRDefault="00A9203D" w:rsidP="006D3950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cours</w:t>
            </w:r>
            <w:proofErr w:type="spellEnd"/>
          </w:p>
        </w:tc>
      </w:tr>
      <w:tr w:rsidR="00B0090F" w:rsidRPr="007649A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D2E41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>linguistique, langue, terminologie, langue spécialisée;</w:t>
            </w:r>
          </w:p>
          <w:p w:rsidR="00AD2E41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les unités terminologiques; </w:t>
            </w:r>
          </w:p>
          <w:p w:rsidR="00AD2E41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langue spécialisée et syntaxe; </w:t>
            </w:r>
          </w:p>
          <w:p w:rsidR="00AD2E41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langue spécialisée et sémantique ; </w:t>
            </w:r>
          </w:p>
          <w:p w:rsidR="00AD2E41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langue spécialisée et traduction; </w:t>
            </w:r>
          </w:p>
          <w:p w:rsidR="00C94DCA" w:rsidRPr="006D3950" w:rsidRDefault="00FF1B29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>langue spécialisée et rédaction technique</w:t>
            </w:r>
          </w:p>
        </w:tc>
      </w:tr>
      <w:tr w:rsidR="00B0090F" w:rsidRPr="007649A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6D3950">
              <w:rPr>
                <w:rStyle w:val="SubtleReferenc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B0090F" w:rsidRPr="007649A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F1B29" w:rsidRPr="006D3950" w:rsidRDefault="00FF1B29" w:rsidP="00FF1B29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Lethuillier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J. – « L’enseignement des langues de spécialité comme préparation à la traduction spécialisée », in </w:t>
            </w:r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>Meta</w:t>
            </w:r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Vol. 48, nr 3, </w:t>
            </w: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Septembrie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 2003, p. 379-392</w:t>
            </w:r>
          </w:p>
          <w:p w:rsidR="00FF1B29" w:rsidRPr="006D3950" w:rsidRDefault="00FF1B29" w:rsidP="00FF1B29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Galisson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R. - </w:t>
            </w:r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>Le phénomène de banalisation lexicale (contribution méthodologique, l'approche des langues de spécialité)</w:t>
            </w:r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 in « Lexicologie et enseignement des langues », Paris, Hachette, 1979, pp. 71-128.</w:t>
            </w:r>
          </w:p>
          <w:p w:rsidR="00FF1B29" w:rsidRPr="006D3950" w:rsidRDefault="00FF1B29" w:rsidP="00FF1B29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eastAsia="ro-RO"/>
              </w:rPr>
            </w:pP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Lerat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Pierre - </w:t>
            </w:r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>Les langues spécialisées</w:t>
            </w:r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Paris, P.U.F., coll. </w:t>
            </w:r>
            <w:r w:rsidRPr="006D3950">
              <w:rPr>
                <w:rFonts w:ascii="Arial Narrow" w:eastAsia="Times New Roman" w:hAnsi="Arial Narrow" w:cs="Times New Roman"/>
                <w:lang w:eastAsia="ro-RO"/>
              </w:rPr>
              <w:t>« </w:t>
            </w:r>
            <w:proofErr w:type="spellStart"/>
            <w:r w:rsidRPr="006D3950">
              <w:rPr>
                <w:rFonts w:ascii="Arial Narrow" w:eastAsia="Times New Roman" w:hAnsi="Arial Narrow" w:cs="Times New Roman"/>
                <w:lang w:eastAsia="ro-RO"/>
              </w:rPr>
              <w:t>Linguistique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eastAsia="ro-RO"/>
              </w:rPr>
              <w:t xml:space="preserve"> nouvelle », 1995.</w:t>
            </w:r>
          </w:p>
          <w:p w:rsidR="00FF1B29" w:rsidRPr="006D3950" w:rsidRDefault="00FF1B29" w:rsidP="00FF1B29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Miclău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, Paul </w:t>
            </w:r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et </w:t>
            </w:r>
            <w:proofErr w:type="spellStart"/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>alii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 (sous la </w:t>
            </w:r>
            <w:proofErr w:type="spellStart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dir</w:t>
            </w:r>
            <w:proofErr w:type="spellEnd"/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 xml:space="preserve">. de) : </w:t>
            </w:r>
            <w:r w:rsidRPr="006D3950">
              <w:rPr>
                <w:rFonts w:ascii="Arial Narrow" w:eastAsia="Times New Roman" w:hAnsi="Arial Narrow" w:cs="Times New Roman"/>
                <w:i/>
                <w:lang w:val="fr-FR" w:eastAsia="ro-RO"/>
              </w:rPr>
              <w:t>Les langues de spécialité</w:t>
            </w:r>
            <w:r w:rsidRPr="006D3950">
              <w:rPr>
                <w:rFonts w:ascii="Arial Narrow" w:eastAsia="Times New Roman" w:hAnsi="Arial Narrow" w:cs="Times New Roman"/>
                <w:lang w:val="fr-FR" w:eastAsia="ro-RO"/>
              </w:rPr>
              <w:t>, Université de Bucarest, 1982.</w:t>
            </w:r>
          </w:p>
          <w:p w:rsidR="00FF1B29" w:rsidRPr="006D3950" w:rsidRDefault="00FF1B29" w:rsidP="00FF1B29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it-IT" w:eastAsia="ro-RO"/>
              </w:rPr>
            </w:pPr>
            <w:r w:rsidRPr="006D3950">
              <w:rPr>
                <w:rFonts w:ascii="Arial Narrow" w:eastAsia="Times New Roman" w:hAnsi="Arial Narrow" w:cs="Times New Roman"/>
                <w:lang w:val="it-IT" w:eastAsia="ro-RO"/>
              </w:rPr>
              <w:t>dictionare, glosare cu termeni de specialitate, baze de date disponibile pe Internet.</w:t>
            </w:r>
          </w:p>
          <w:p w:rsidR="002A429F" w:rsidRPr="006D3950" w:rsidRDefault="002A429F" w:rsidP="002A429F">
            <w:pPr>
              <w:contextualSpacing/>
              <w:rPr>
                <w:rFonts w:ascii="Arial Narrow" w:hAnsi="Arial Narrow" w:cs="Arial"/>
                <w:bCs/>
                <w:noProof/>
                <w:color w:val="000000"/>
                <w:lang w:val="it-IT"/>
              </w:rPr>
            </w:pPr>
          </w:p>
          <w:p w:rsidR="00C94DCA" w:rsidRPr="006D3950" w:rsidRDefault="00C94DCA" w:rsidP="002A429F">
            <w:pPr>
              <w:ind w:left="720"/>
              <w:contextualSpacing/>
              <w:rPr>
                <w:rFonts w:ascii="Arial Narrow" w:hAnsi="Arial Narrow" w:cs="Arial"/>
                <w:bCs/>
                <w:noProof/>
                <w:color w:val="000000"/>
                <w:lang w:val="ro-RO"/>
              </w:rPr>
            </w:pP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séminaires</w:t>
            </w:r>
            <w:proofErr w:type="spellEnd"/>
          </w:p>
        </w:tc>
      </w:tr>
      <w:tr w:rsidR="00B0090F" w:rsidRPr="007649A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Default="00801CEB" w:rsidP="002A429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Travail sur des textes spécialisés de différents domaines (gastronomique, juridique,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lastRenderedPageBreak/>
              <w:t>économique, technique).</w:t>
            </w:r>
          </w:p>
          <w:p w:rsidR="00801CEB" w:rsidRPr="00453C53" w:rsidRDefault="00801CEB" w:rsidP="002A429F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Travail sur des textes appartenant aux divers registres de lanque française</w:t>
            </w:r>
            <w:r w:rsidR="0071633E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r w:rsidR="0071633E">
              <w:rPr>
                <w:rFonts w:ascii="Arial Narrow" w:hAnsi="Arial Narrow" w:cs="Arial"/>
                <w:lang w:val="ro-RO"/>
              </w:rPr>
              <w:t>(français familier, français argotique, français des cités)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.</w:t>
            </w:r>
          </w:p>
        </w:tc>
      </w:tr>
      <w:tr w:rsidR="00B0090F" w:rsidRPr="007649A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B0090F" w:rsidRPr="007649A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F7C6A" w:rsidRPr="006D3950" w:rsidRDefault="009F7C6A" w:rsidP="009F7C6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6D3950">
              <w:rPr>
                <w:rFonts w:ascii="Arial Narrow" w:hAnsi="Arial Narrow" w:cs="Arial"/>
                <w:color w:val="000000"/>
                <w:lang w:val="ro-RO"/>
              </w:rPr>
              <w:t>Goudaillier,Jean-Pierre, ‹‹La langue des jeunes des cités. Comment tu tchatches! », Conférence du Casnav de l’académie de Paris, 27 janvier 1999;</w:t>
            </w:r>
          </w:p>
          <w:p w:rsidR="009F7C6A" w:rsidRPr="006D3950" w:rsidRDefault="009F7C6A" w:rsidP="009F7C6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Messili, Zouhour et Ben Aziza, Hmaid, ‹‹Langage et exclusion. La langue des cités en France», </w:t>
            </w:r>
            <w:r w:rsidRPr="006D3950">
              <w:rPr>
                <w:rFonts w:ascii="Arial Narrow" w:hAnsi="Arial Narrow" w:cs="Arial"/>
                <w:i/>
                <w:color w:val="000000"/>
                <w:lang w:val="ro-RO"/>
              </w:rPr>
              <w:t>Cahiers de la Méditerranée</w:t>
            </w:r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 [En ligne], vol. 69 | 2004;</w:t>
            </w:r>
          </w:p>
          <w:p w:rsidR="009F7C6A" w:rsidRPr="006D3950" w:rsidRDefault="009F7C6A" w:rsidP="009F7C6A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6D3950">
              <w:rPr>
                <w:rFonts w:ascii="Arial Narrow" w:hAnsi="Arial Narrow" w:cs="Arial"/>
                <w:color w:val="000000"/>
                <w:lang w:val="ro-RO"/>
              </w:rPr>
              <w:t>Tesu,</w:t>
            </w:r>
            <w:r w:rsidR="0010188A">
              <w:rPr>
                <w:rFonts w:ascii="Arial Narrow" w:hAnsi="Arial Narrow" w:cs="Arial"/>
                <w:color w:val="000000"/>
                <w:lang w:val="ro-RO"/>
              </w:rPr>
              <w:t xml:space="preserve"> </w:t>
            </w:r>
            <w:bookmarkStart w:id="0" w:name="_GoBack"/>
            <w:bookmarkEnd w:id="0"/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Ioan C., ‹‹Valoarea sacramentală a cuvîntului», </w:t>
            </w:r>
            <w:r w:rsidRPr="006D3950">
              <w:rPr>
                <w:rFonts w:ascii="Arial Narrow" w:hAnsi="Arial Narrow" w:cs="Arial"/>
                <w:i/>
                <w:color w:val="000000"/>
                <w:lang w:val="ro-RO"/>
              </w:rPr>
              <w:t>Analele Stiintifice</w:t>
            </w:r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 Ale Universitatii A. I. Cuza, Iasi, Nr.1, 2008;</w:t>
            </w:r>
          </w:p>
          <w:p w:rsidR="00C94DCA" w:rsidRPr="006D3950" w:rsidRDefault="009F7C6A" w:rsidP="00AD2E4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Haddad, Jean-David, , ‹‹Le langage verbal des jeunes des cités»,  </w:t>
            </w:r>
            <w:r w:rsidRPr="006D3950">
              <w:rPr>
                <w:rFonts w:ascii="Arial Narrow" w:hAnsi="Arial Narrow" w:cs="Arial"/>
                <w:i/>
                <w:color w:val="000000"/>
                <w:lang w:val="ro-RO"/>
              </w:rPr>
              <w:t>Idées</w:t>
            </w:r>
            <w:r w:rsidRPr="006D3950">
              <w:rPr>
                <w:rFonts w:ascii="Arial Narrow" w:hAnsi="Arial Narrow" w:cs="Arial"/>
                <w:color w:val="000000"/>
                <w:lang w:val="ro-RO"/>
              </w:rPr>
              <w:t>, Nr. 111, mars</w:t>
            </w:r>
            <w:r w:rsidR="00AD2E41" w:rsidRPr="006D3950">
              <w:rPr>
                <w:rFonts w:ascii="Arial Narrow" w:hAnsi="Arial Narrow" w:cs="Arial"/>
                <w:color w:val="000000"/>
                <w:lang w:val="ro-RO"/>
              </w:rPr>
              <w:t>,</w:t>
            </w:r>
            <w:r w:rsidRPr="006D3950">
              <w:rPr>
                <w:rFonts w:ascii="Arial Narrow" w:hAnsi="Arial Narrow" w:cs="Arial"/>
                <w:color w:val="000000"/>
                <w:lang w:val="ro-RO"/>
              </w:rPr>
              <w:t xml:space="preserve"> 1998.</w:t>
            </w:r>
          </w:p>
        </w:tc>
      </w:tr>
      <w:tr w:rsidR="00B0090F" w:rsidRPr="006D395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7649A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A9203D" w:rsidP="00BC47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/>
                <w:color w:val="000000"/>
                <w:lang w:val="ro-RO"/>
              </w:rPr>
              <w:t>Cours interactif qui combin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l’exposé avec le travail sur des documents authentiques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texte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aut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enti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de sp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cialit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fi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ch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avec des exercices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.</w:t>
            </w:r>
          </w:p>
        </w:tc>
      </w:tr>
      <w:tr w:rsidR="00B0090F" w:rsidRPr="006D395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BC478C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Essai 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(40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>) et examen écrit (60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%)</w:t>
            </w:r>
          </w:p>
        </w:tc>
      </w:tr>
      <w:tr w:rsidR="00B0090F" w:rsidRPr="006D395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Langue </w:t>
            </w:r>
            <w:r w:rsidR="00BD46C9"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D40BC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6D3950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sectPr w:rsidR="00B0090F" w:rsidRPr="006D395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B37"/>
    <w:multiLevelType w:val="hybridMultilevel"/>
    <w:tmpl w:val="1F2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6247"/>
    <w:multiLevelType w:val="hybridMultilevel"/>
    <w:tmpl w:val="F160A3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1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22"/>
  </w:num>
  <w:num w:numId="15">
    <w:abstractNumId w:val="11"/>
  </w:num>
  <w:num w:numId="16">
    <w:abstractNumId w:val="19"/>
  </w:num>
  <w:num w:numId="17">
    <w:abstractNumId w:val="6"/>
  </w:num>
  <w:num w:numId="18">
    <w:abstractNumId w:val="16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F4011"/>
    <w:rsid w:val="0010188A"/>
    <w:rsid w:val="0016725D"/>
    <w:rsid w:val="001E2CA9"/>
    <w:rsid w:val="00254D05"/>
    <w:rsid w:val="002A1706"/>
    <w:rsid w:val="002A429F"/>
    <w:rsid w:val="002B6A6C"/>
    <w:rsid w:val="00330256"/>
    <w:rsid w:val="003A290D"/>
    <w:rsid w:val="00427C2F"/>
    <w:rsid w:val="00453C53"/>
    <w:rsid w:val="004D0D05"/>
    <w:rsid w:val="00524F05"/>
    <w:rsid w:val="005525BB"/>
    <w:rsid w:val="005571E3"/>
    <w:rsid w:val="00594F46"/>
    <w:rsid w:val="005B5F38"/>
    <w:rsid w:val="00647103"/>
    <w:rsid w:val="00663ECD"/>
    <w:rsid w:val="006852DA"/>
    <w:rsid w:val="00686349"/>
    <w:rsid w:val="00696887"/>
    <w:rsid w:val="006D3950"/>
    <w:rsid w:val="0071633E"/>
    <w:rsid w:val="0075756B"/>
    <w:rsid w:val="007649AF"/>
    <w:rsid w:val="008003E6"/>
    <w:rsid w:val="00801CEB"/>
    <w:rsid w:val="00814805"/>
    <w:rsid w:val="00815086"/>
    <w:rsid w:val="008871DD"/>
    <w:rsid w:val="008D56B5"/>
    <w:rsid w:val="009472FD"/>
    <w:rsid w:val="00981730"/>
    <w:rsid w:val="009A063F"/>
    <w:rsid w:val="009B4502"/>
    <w:rsid w:val="009C308C"/>
    <w:rsid w:val="009E186A"/>
    <w:rsid w:val="009F7C6A"/>
    <w:rsid w:val="00A5778D"/>
    <w:rsid w:val="00A9203D"/>
    <w:rsid w:val="00AA6182"/>
    <w:rsid w:val="00AD2E41"/>
    <w:rsid w:val="00B0090F"/>
    <w:rsid w:val="00B364FA"/>
    <w:rsid w:val="00BC478C"/>
    <w:rsid w:val="00BD46C9"/>
    <w:rsid w:val="00BD750F"/>
    <w:rsid w:val="00C33121"/>
    <w:rsid w:val="00C8093F"/>
    <w:rsid w:val="00C94DCA"/>
    <w:rsid w:val="00CA0D08"/>
    <w:rsid w:val="00D40BC7"/>
    <w:rsid w:val="00D4471F"/>
    <w:rsid w:val="00DB1C6A"/>
    <w:rsid w:val="00DC554A"/>
    <w:rsid w:val="00ED18F4"/>
    <w:rsid w:val="00EE70AA"/>
    <w:rsid w:val="00FF1B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A1D69-E801-4530-8E70-83CBECB1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Monica</cp:lastModifiedBy>
  <cp:revision>6</cp:revision>
  <dcterms:created xsi:type="dcterms:W3CDTF">2019-11-29T19:41:00Z</dcterms:created>
  <dcterms:modified xsi:type="dcterms:W3CDTF">2019-12-01T19:10:00Z</dcterms:modified>
</cp:coreProperties>
</file>