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7C5840" w:rsidRDefault="00C94DCA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7C5840">
        <w:rPr>
          <w:rStyle w:val="Rfrencelgre"/>
          <w:rFonts w:ascii="Arial" w:hAnsi="Arial" w:cs="Arial"/>
          <w:sz w:val="20"/>
          <w:szCs w:val="20"/>
        </w:rPr>
        <w:t>descripti</w:t>
      </w:r>
      <w:r w:rsidR="0007601E">
        <w:rPr>
          <w:rStyle w:val="Rfrencelgre"/>
          <w:rFonts w:ascii="Arial" w:hAnsi="Arial" w:cs="Arial"/>
          <w:sz w:val="20"/>
          <w:szCs w:val="20"/>
        </w:rPr>
        <w:t>f</w:t>
      </w:r>
      <w:proofErr w:type="spellEnd"/>
      <w:r w:rsidRPr="007C5840">
        <w:rPr>
          <w:rStyle w:val="Rfrencelgre"/>
          <w:rFonts w:ascii="Arial" w:hAnsi="Arial" w:cs="Arial"/>
          <w:sz w:val="20"/>
          <w:szCs w:val="20"/>
        </w:rPr>
        <w:t xml:space="preserve"> </w:t>
      </w:r>
      <w:r w:rsidR="00F66734" w:rsidRPr="007C5840">
        <w:rPr>
          <w:rStyle w:val="Rfrencelgre"/>
          <w:rFonts w:ascii="Arial" w:hAnsi="Arial" w:cs="Arial"/>
          <w:sz w:val="20"/>
          <w:szCs w:val="20"/>
        </w:rPr>
        <w:t xml:space="preserve">du </w:t>
      </w:r>
      <w:proofErr w:type="spellStart"/>
      <w:r w:rsidR="00F66734" w:rsidRPr="007C5840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</w:p>
    <w:p w:rsidR="00B0090F" w:rsidRPr="007C5840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B13E2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C5840" w:rsidRDefault="00CA0D08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PROGRAMME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DE MASTER</w:t>
            </w:r>
            <w:r w:rsidR="00B0090F"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</w:p>
          <w:p w:rsidR="00B0090F" w:rsidRPr="007C5840" w:rsidRDefault="00F66734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  <w:t>ETUDES FRANCOPHONES</w:t>
            </w:r>
          </w:p>
          <w:p w:rsidR="00B0090F" w:rsidRPr="007C5840" w:rsidRDefault="001622BF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2</w:t>
            </w:r>
            <w: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ANNĖE</w:t>
            </w:r>
            <w:r w:rsidR="00B0090F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1</w:t>
            </w:r>
            <w:proofErr w:type="gramStart"/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  <w:lang w:val="fr-FR"/>
              </w:rPr>
              <w:t xml:space="preserve">ER </w:t>
            </w:r>
            <w:r w:rsidR="00CA0D08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SEMEST</w:t>
            </w:r>
            <w:r w:rsidR="00F66734"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RE</w:t>
            </w:r>
            <w:proofErr w:type="gramEnd"/>
          </w:p>
        </w:tc>
      </w:tr>
    </w:tbl>
    <w:p w:rsidR="00B0090F" w:rsidRPr="007C5840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D53810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INTITULĖ DU COURS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D42143" w:rsidRDefault="00D42143" w:rsidP="00C94DCA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42143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lang w:val="fr-FR"/>
              </w:rPr>
              <w:t>L</w:t>
            </w:r>
            <w:r w:rsidR="00D53810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lang w:val="fr-FR"/>
              </w:rPr>
              <w:t>inguistique de terrain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CODE DU COURS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TYPE DE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A698C" w:rsidRDefault="0007601E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A698C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proofErr w:type="gramEnd"/>
            <w:r w:rsidRPr="003A698C">
              <w:rPr>
                <w:rFonts w:ascii="Arial" w:hAnsi="Arial" w:cs="Arial"/>
                <w:sz w:val="20"/>
                <w:szCs w:val="20"/>
                <w:lang w:val="fr-FR"/>
              </w:rPr>
              <w:t xml:space="preserve"> présentiel </w:t>
            </w:r>
            <w:r w:rsidR="00647103" w:rsidRPr="003A698C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3A698C">
              <w:rPr>
                <w:rFonts w:ascii="Arial" w:hAnsi="Arial" w:cs="Arial"/>
                <w:sz w:val="20"/>
                <w:szCs w:val="20"/>
                <w:lang w:val="fr-FR"/>
              </w:rPr>
              <w:t>presence</w:t>
            </w:r>
            <w:proofErr w:type="spellEnd"/>
            <w:r w:rsidRPr="003A698C">
              <w:rPr>
                <w:rFonts w:ascii="Arial" w:hAnsi="Arial" w:cs="Arial"/>
                <w:sz w:val="20"/>
                <w:szCs w:val="20"/>
                <w:lang w:val="fr-FR"/>
              </w:rPr>
              <w:t xml:space="preserve"> obligatoire aux séminaires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F57D7" w:rsidRDefault="00EE70AA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BF57D7" w:rsidRPr="00BF57D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</w:t>
            </w: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cycle</w:t>
            </w:r>
            <w:r w:rsidR="00B0090F"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BF57D7" w:rsidRPr="00BF57D7">
              <w:rPr>
                <w:rFonts w:ascii="Arial" w:hAnsi="Arial" w:cs="Arial"/>
                <w:sz w:val="20"/>
                <w:szCs w:val="20"/>
                <w:lang w:val="fr-FR"/>
              </w:rPr>
              <w:t>niveau master</w:t>
            </w:r>
            <w:r w:rsidR="00B0090F" w:rsidRPr="00BF57D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F66734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ANNĖE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D’Ėtude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F57D7" w:rsidRDefault="00D53810" w:rsidP="002B6A6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</w:t>
            </w:r>
            <w:r w:rsidR="00BF57D7" w:rsidRPr="00BF57D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BF57D7" w:rsidRPr="00BF57D7">
              <w:rPr>
                <w:rFonts w:ascii="Arial" w:hAnsi="Arial" w:cs="Arial"/>
                <w:sz w:val="20"/>
                <w:szCs w:val="20"/>
                <w:lang w:val="fr-FR"/>
              </w:rPr>
              <w:t>année d’étude</w:t>
            </w:r>
            <w:r w:rsidR="00B0090F"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2B6A6C" w:rsidRPr="00BF57D7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BF57D7" w:rsidRPr="00BF57D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2B6A6C" w:rsidRPr="00BF57D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2B6A6C" w:rsidRPr="00BF57D7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BF57D7" w:rsidRPr="00BF57D7">
              <w:rPr>
                <w:rFonts w:ascii="Arial" w:hAnsi="Arial" w:cs="Arial"/>
                <w:sz w:val="20"/>
                <w:szCs w:val="20"/>
                <w:lang w:val="fr-FR"/>
              </w:rPr>
              <w:t>mestre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ombre d</w:t>
            </w:r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’</w:t>
            </w:r>
            <w:proofErr w:type="spellStart"/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ects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F57D7" w:rsidRDefault="00D53810" w:rsidP="00CA0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ombre</w:t>
            </w:r>
            <w:proofErr w:type="spellEnd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F57D7" w:rsidRDefault="00BF57D7" w:rsidP="00EE70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B0090F"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D53810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heure de cours</w:t>
            </w:r>
            <w:r w:rsidR="00B0090F"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+ </w:t>
            </w:r>
            <w:r w:rsidR="00D5381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heure</w:t>
            </w:r>
            <w:r w:rsidR="00D53810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BF57D7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r w:rsidR="00D14A3A" w:rsidRPr="00D14A3A">
              <w:rPr>
                <w:rFonts w:ascii="Arial" w:hAnsi="Arial" w:cs="Arial"/>
                <w:sz w:val="20"/>
                <w:szCs w:val="20"/>
                <w:lang w:val="fr-FR"/>
              </w:rPr>
              <w:t>séminaire</w:t>
            </w:r>
            <w:r w:rsidR="00B0090F" w:rsidRPr="00D14A3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696887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C5840" w:rsidRDefault="003A698C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3A698C">
              <w:rPr>
                <w:lang w:val="fr-FR"/>
              </w:rPr>
              <w:t>onf</w:t>
            </w:r>
            <w:proofErr w:type="spellEnd"/>
            <w:r w:rsidRPr="003A698C">
              <w:rPr>
                <w:lang w:val="fr-FR"/>
              </w:rPr>
              <w:t xml:space="preserve">. </w:t>
            </w:r>
            <w:proofErr w:type="spellStart"/>
            <w:r w:rsidRPr="003A698C">
              <w:rPr>
                <w:lang w:val="fr-FR"/>
              </w:rPr>
              <w:t>dr</w:t>
            </w:r>
            <w:proofErr w:type="spellEnd"/>
            <w:r w:rsidRPr="003A698C">
              <w:rPr>
                <w:lang w:val="fr-FR"/>
              </w:rPr>
              <w:t xml:space="preserve">. </w:t>
            </w:r>
            <w:proofErr w:type="spellStart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Petraș</w:t>
            </w:r>
            <w:proofErr w:type="spellEnd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Anca</w:t>
            </w:r>
            <w:proofErr w:type="spellEnd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Cristina</w:t>
            </w: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</w:t>
            </w:r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u </w:t>
            </w:r>
            <w:proofErr w:type="spellStart"/>
            <w:r w:rsidR="003A698C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seminaire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A698C" w:rsidRDefault="003A698C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3A698C">
              <w:rPr>
                <w:lang w:val="fr-FR"/>
              </w:rPr>
              <w:t>onf</w:t>
            </w:r>
            <w:proofErr w:type="spellEnd"/>
            <w:r w:rsidRPr="003A698C">
              <w:rPr>
                <w:lang w:val="fr-FR"/>
              </w:rPr>
              <w:t xml:space="preserve">. </w:t>
            </w:r>
            <w:proofErr w:type="spellStart"/>
            <w:r w:rsidRPr="003A698C">
              <w:rPr>
                <w:lang w:val="fr-FR"/>
              </w:rPr>
              <w:t>dr</w:t>
            </w:r>
            <w:proofErr w:type="spellEnd"/>
            <w:r w:rsidRPr="003A698C">
              <w:rPr>
                <w:lang w:val="fr-FR"/>
              </w:rPr>
              <w:t xml:space="preserve">. </w:t>
            </w:r>
            <w:proofErr w:type="spellStart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Petraș</w:t>
            </w:r>
            <w:proofErr w:type="spellEnd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Anca</w:t>
            </w:r>
            <w:proofErr w:type="spellEnd"/>
            <w:r w:rsidR="00BF57D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Cristina</w:t>
            </w:r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</w:t>
            </w:r>
            <w:r w:rsidR="00F66734" w:rsidRPr="007C5840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3A698C" w:rsidRDefault="003A698C" w:rsidP="0081480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3A698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Très b</w:t>
            </w:r>
            <w:r w:rsidR="00BF57D7" w:rsidRPr="003A698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onne maîtrise du français</w:t>
            </w:r>
            <w:r w:rsidRPr="003A698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3A698C">
              <w:rPr>
                <w:rFonts w:ascii="Arial" w:hAnsi="Arial" w:cs="Arial"/>
                <w:lang w:val="fr-FR"/>
              </w:rPr>
              <w:t>(C1)</w:t>
            </w: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competences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generales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specifiques</w:t>
            </w:r>
            <w:proofErr w:type="spellEnd"/>
            <w:r w:rsidRPr="007C5840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</w:p>
        </w:tc>
      </w:tr>
      <w:tr w:rsidR="00B0090F" w:rsidRPr="00A3724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3C40" w:rsidRPr="00A3724C" w:rsidRDefault="007C5840" w:rsidP="00793C4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>Compétences</w:t>
            </w:r>
            <w:proofErr w:type="spellEnd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>générales</w:t>
            </w:r>
            <w:proofErr w:type="spellEnd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B0090F" w:rsidRPr="00A3724C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94DCA" w:rsidRPr="00A3724C" w:rsidRDefault="00793C40" w:rsidP="00793C40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Réaliser des tâches professionnelles complexes (par exemple, réaliser des transcriptions de corpus oraux en vue d’une exploitation linguistique</w:t>
            </w:r>
            <w:r w:rsidR="001413A6"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constituer des questionnaires</w:t>
            </w:r>
            <w:r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) </w:t>
            </w:r>
          </w:p>
          <w:p w:rsidR="00C94DCA" w:rsidRPr="00A3724C" w:rsidRDefault="00E00DE9" w:rsidP="00C94DCA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Gérer </w:t>
            </w:r>
            <w:r w:rsidR="00793C40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l’activité du séminaire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en assumant différents rôles dans le cadre du groupe ; </w:t>
            </w:r>
            <w:r w:rsidR="003A21D2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être capable </w:t>
            </w:r>
            <w:r w:rsidR="00A0766D" w:rsidRPr="00A3724C">
              <w:rPr>
                <w:rFonts w:ascii="Arial" w:hAnsi="Arial" w:cs="Arial"/>
                <w:sz w:val="20"/>
                <w:szCs w:val="20"/>
                <w:lang w:val="fr-FR"/>
              </w:rPr>
              <w:t>d’interagir et de collaborer en vue de la réalisation de devoirs en groupes</w:t>
            </w:r>
          </w:p>
          <w:p w:rsidR="00B0090F" w:rsidRPr="00A3724C" w:rsidRDefault="00B0090F" w:rsidP="00C94DCA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0766D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Projeter une carrière professionnelle/de recherche, en respectant les principes de l’éthique de la recherche philologique (par exemple, par la constitution d’un projet de doctorat) </w:t>
            </w:r>
          </w:p>
          <w:p w:rsidR="00B0090F" w:rsidRPr="00A3724C" w:rsidRDefault="007C5840" w:rsidP="00CA0D08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>Compétences</w:t>
            </w:r>
            <w:proofErr w:type="spellEnd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>spécifiques</w:t>
            </w:r>
            <w:proofErr w:type="spellEnd"/>
            <w:r w:rsidRPr="00A3724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B0090F" w:rsidRPr="00A3724C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B0090F" w:rsidRPr="00A3724C" w:rsidRDefault="00FB64A9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Connaître</w:t>
            </w:r>
            <w:r w:rsidR="00542EF7"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utiliser et exploiter les principes et les méthodes de la linguistique de terrain (technique du recueil de</w:t>
            </w:r>
            <w:r w:rsidR="00A3724C"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</w:t>
            </w:r>
            <w:r w:rsidR="00542EF7"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données écologiques et de constitution des corpus oraux, techniques de transcription des corpus oraux</w:t>
            </w:r>
            <w:r w:rsidR="008213CA" w:rsidRPr="00A3724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</w:t>
            </w:r>
          </w:p>
          <w:p w:rsidR="00231326" w:rsidRPr="00A3724C" w:rsidRDefault="00231326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Transférer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l’activité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didactique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et dans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l’approche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grammaire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réflexion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sur le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type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données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d’introspection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ou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d’observation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cueillies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sur le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terrain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:rsidR="00231326" w:rsidRPr="00A3724C" w:rsidRDefault="00231326" w:rsidP="00965B94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Élargir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gamme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d’exemples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l’enseignement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grammaire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englobnat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exemples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attestés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différents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types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corpus</w:t>
            </w:r>
          </w:p>
          <w:p w:rsidR="00A25C97" w:rsidRPr="007C5840" w:rsidRDefault="00A25C97" w:rsidP="00071C0E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Élaborer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un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système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propre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conventions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transcription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d’un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corpus oral,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mo</w:t>
            </w:r>
            <w:r w:rsidR="009614D4" w:rsidRPr="00A3724C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iver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expliquer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options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transcription</w:t>
            </w:r>
            <w:proofErr w:type="spellEnd"/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color w:val="FFFFFF" w:themeColor="background1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lang w:val="ro-RO"/>
              </w:rPr>
              <w:t>r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>esultats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 xml:space="preserve"> de </w:t>
            </w:r>
            <w:proofErr w:type="spellStart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>l’apprentissage</w:t>
            </w:r>
            <w:proofErr w:type="spellEnd"/>
            <w:r w:rsidRPr="007C5840">
              <w:rPr>
                <w:rStyle w:val="Rfrencelgre"/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0090F" w:rsidRPr="00A3724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C02A3" w:rsidRPr="00491D77" w:rsidRDefault="004C02A3" w:rsidP="004C02A3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cours propose une introduction à la linguistique de terrain et une réflexion sur le type de données dont se sert le linguiste, contribuant ainsi à la projection par les étudiants d’un projet de recherche et des méthodes et des instruments de travail. Le cours vise en même temps une ouverture vers l’exploitation</w:t>
            </w:r>
            <w:bookmarkStart w:id="0" w:name="_GoBack"/>
            <w:bookmarkEnd w:id="0"/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dans la pratique didactique </w:t>
            </w:r>
            <w:r w:rsidR="00491D77"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des corpus les plus variés en vue d’une approche des diverses formes de manifestation de la langue française dans la francophonie. A la fin du cours, les étudiants seront capables de :</w:t>
            </w: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231326" w:rsidRPr="00491D77" w:rsidRDefault="00231326" w:rsidP="002278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Utiliser les instruments de la linguistique de terrain </w:t>
            </w:r>
          </w:p>
          <w:p w:rsidR="00231326" w:rsidRPr="00491D77" w:rsidRDefault="00231326" w:rsidP="002278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Expliquer la pertinence du choix d’un type de méthode de recueil des données </w:t>
            </w:r>
          </w:p>
          <w:p w:rsidR="009A7228" w:rsidRPr="00491D77" w:rsidRDefault="00231326" w:rsidP="009B3212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Elaborer un questionnaire en rapport avec </w:t>
            </w:r>
            <w:r w:rsidR="009A7228"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un thème de recherche </w:t>
            </w:r>
          </w:p>
          <w:p w:rsidR="00231326" w:rsidRPr="00491D77" w:rsidRDefault="009A7228" w:rsidP="009B3212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Proposer la transcription d’un corpus et expliquer les options de transcription </w:t>
            </w:r>
          </w:p>
          <w:p w:rsidR="009A7228" w:rsidRPr="00491D77" w:rsidRDefault="009A7228" w:rsidP="009B3212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91D7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Constituer des corpus dans divers buts didactiques ou de recherche </w:t>
            </w:r>
          </w:p>
          <w:p w:rsidR="00C8093F" w:rsidRPr="00E871F1" w:rsidRDefault="00DE758A" w:rsidP="009A7228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Analyser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des corpus et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exploiter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une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démarche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didactique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qui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vise la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formation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dans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une</w:t>
            </w:r>
            <w:proofErr w:type="spellEnd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 xml:space="preserve"> perspective </w:t>
            </w:r>
            <w:proofErr w:type="spellStart"/>
            <w:r w:rsidRPr="00491D77">
              <w:rPr>
                <w:rFonts w:ascii="Arial" w:hAnsi="Arial" w:cs="Arial"/>
                <w:sz w:val="20"/>
                <w:szCs w:val="20"/>
                <w:lang w:val="ro-RO"/>
              </w:rPr>
              <w:t>interculturelle</w:t>
            </w:r>
            <w:proofErr w:type="spellEnd"/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contenu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d</w:t>
            </w:r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es</w:t>
            </w: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cours</w:t>
            </w:r>
            <w:proofErr w:type="spellEnd"/>
          </w:p>
        </w:tc>
      </w:tr>
      <w:tr w:rsidR="00B0090F" w:rsidRPr="00A3724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B2EE7" w:rsidRPr="00A3724C" w:rsidRDefault="00570420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1. </w:t>
            </w:r>
            <w:r w:rsidR="004C41C2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Linguistique de terrain. La question des données.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Une autre manière de faire de la linguistique. </w:t>
            </w:r>
            <w:r w:rsidR="00DB2EE7" w:rsidRPr="00A3724C">
              <w:rPr>
                <w:rFonts w:ascii="Arial" w:hAnsi="Arial" w:cs="Arial"/>
                <w:bCs/>
                <w:sz w:val="20"/>
                <w:szCs w:val="20"/>
                <w:lang w:val="fr-FR"/>
              </w:rPr>
              <w:t>Approche (méthode) hypothético-déductive /vs/ approche (méthode) empirico-inductive.</w:t>
            </w:r>
          </w:p>
          <w:p w:rsidR="003C52B7" w:rsidRPr="00A3724C" w:rsidRDefault="00570420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2. Recueil des données</w:t>
            </w:r>
            <w:r w:rsidR="00E871F1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Méthodes</w:t>
            </w:r>
            <w:r w:rsidR="00E871F1" w:rsidRPr="00A3724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DB2EE7" w:rsidRPr="00A3724C" w:rsidRDefault="00570420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2.1. </w:t>
            </w:r>
            <w:r w:rsidR="00EA5CA4" w:rsidRPr="00A3724C">
              <w:rPr>
                <w:rFonts w:ascii="Arial" w:hAnsi="Arial" w:cs="Arial"/>
                <w:sz w:val="20"/>
                <w:szCs w:val="20"/>
                <w:lang w:val="fr-FR"/>
              </w:rPr>
              <w:t>L’e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nquête </w:t>
            </w:r>
            <w:r w:rsidR="00DB2EE7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linguistique : le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questionnaire</w:t>
            </w:r>
            <w:r w:rsidR="00DB2EE7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. 2.1.1. Définir l’objet. 2.1.2. Hypothèses de travail. 2.1.3. </w:t>
            </w:r>
            <w:proofErr w:type="spellStart"/>
            <w:r w:rsidR="00DB2EE7" w:rsidRPr="00A3724C">
              <w:rPr>
                <w:rFonts w:ascii="Arial" w:hAnsi="Arial" w:cs="Arial"/>
                <w:sz w:val="20"/>
                <w:szCs w:val="20"/>
                <w:lang w:val="fr-FR"/>
              </w:rPr>
              <w:t>Echantillon</w:t>
            </w:r>
            <w:proofErr w:type="spellEnd"/>
            <w:r w:rsidR="00DB2EE7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. 2.1.4. Types de questions. 2.1.4.1. Contenu des questions. 2.1.4.2. Forme des questions et des réponses.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B2EE7" w:rsidRPr="00A3724C">
              <w:rPr>
                <w:rFonts w:ascii="Arial" w:hAnsi="Arial" w:cs="Arial"/>
                <w:sz w:val="20"/>
                <w:szCs w:val="20"/>
                <w:lang w:val="fr-FR"/>
              </w:rPr>
              <w:t>2.1.4.3. Construction du questionnaire. 2.1.4.4. Récupération du questionnaire. 2.1.4.5. Validation du questionnaire.</w:t>
            </w:r>
          </w:p>
          <w:p w:rsidR="00DB2EE7" w:rsidRPr="00A3724C" w:rsidRDefault="00EA5CA4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2.2. L’enquête linguistique : l’entretien. Types d’entretien (directif/questionnaire, non directif, interactif). </w:t>
            </w:r>
          </w:p>
          <w:p w:rsidR="009A7228" w:rsidRPr="00A3724C" w:rsidRDefault="00570420" w:rsidP="009A722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2.2. Observation participante</w:t>
            </w:r>
            <w:r w:rsidR="00E4683E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. Comparaison avec les autres méthodes d’enquête. Avantages et désavantages.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C52B7" w:rsidRPr="00A3724C" w:rsidRDefault="00570420" w:rsidP="009A722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2.3. </w:t>
            </w:r>
            <w:r w:rsidR="00E4683E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Collecte de données écologiques.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Enregistrements de groupes en interaction ordinaire 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(ethnographie de la communication).</w:t>
            </w:r>
          </w:p>
          <w:p w:rsidR="00E4683E" w:rsidRPr="00A3724C" w:rsidRDefault="00E4683E" w:rsidP="009A7228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3. Le corpus : définition, caractéristiques. Le corpus comme « objet construit ». </w:t>
            </w:r>
          </w:p>
          <w:p w:rsidR="003C52B7" w:rsidRPr="00A3724C" w:rsidRDefault="00E4683E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570420" w:rsidRPr="00A3724C">
              <w:rPr>
                <w:rFonts w:ascii="Arial" w:hAnsi="Arial" w:cs="Arial"/>
                <w:sz w:val="20"/>
                <w:szCs w:val="20"/>
                <w:lang w:val="fr-FR"/>
              </w:rPr>
              <w:t>. Constitution des corpus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dans des buts scientifiques/didactiques. Corpus oraux en francophonie</w:t>
            </w:r>
            <w:r w:rsidR="00570420" w:rsidRPr="00A3724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E4683E" w:rsidRPr="00A3724C" w:rsidRDefault="00E4683E" w:rsidP="009A72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5. Transcription des corpus oraux : principes, limites, implications. </w:t>
            </w:r>
          </w:p>
          <w:p w:rsidR="00C94DCA" w:rsidRPr="007C5840" w:rsidRDefault="00C94DCA" w:rsidP="009A722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0090F" w:rsidRPr="00A3724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bibliographie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recommandee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pour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le</w:t>
            </w:r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cours</w:t>
            </w:r>
            <w:proofErr w:type="spellEnd"/>
          </w:p>
        </w:tc>
      </w:tr>
      <w:tr w:rsidR="00B0090F" w:rsidRPr="00A3724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4683E" w:rsidRPr="00E871F1" w:rsidRDefault="00E4683E" w:rsidP="00E871F1">
            <w:pPr>
              <w:pStyle w:val="Listecouleur-Accent11"/>
              <w:numPr>
                <w:ilvl w:val="0"/>
                <w:numId w:val="28"/>
              </w:numPr>
              <w:ind w:left="502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Auroux, Sylvain, 1998, « Les enjeux de la linguistique de terrain », 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Langages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129, pp. 89-96.</w:t>
            </w:r>
          </w:p>
          <w:p w:rsidR="00E4683E" w:rsidRPr="00E871F1" w:rsidRDefault="00E4683E" w:rsidP="00E4683E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Blanche-Benveniste, Claire, </w:t>
            </w: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Jeanjean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Colette, 1987, 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Le français parlé. Transcription et édition</w:t>
            </w: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, Paris, Didier Érudition.</w:t>
            </w:r>
          </w:p>
          <w:p w:rsidR="00E4683E" w:rsidRPr="00E871F1" w:rsidRDefault="00E4683E" w:rsidP="00E4683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Blanchet, Philippe, 2012, 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La linguistique de terrain, méthode et théorie. Une approche ethnosociolinguistique de la complexité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Presses Universitaires de Rennes, 2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 édition revue et complétée.</w:t>
            </w:r>
          </w:p>
          <w:p w:rsidR="00E4683E" w:rsidRPr="00E871F1" w:rsidRDefault="00E4683E" w:rsidP="00E4683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Calvet, Louis-Jean, Dumont, Pierre (dir.), 1999, 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L’enquête sociolinguistique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Paris, L’Harmattan.</w:t>
            </w:r>
          </w:p>
          <w:p w:rsidR="00E4683E" w:rsidRPr="00E871F1" w:rsidRDefault="00E4683E" w:rsidP="00E4683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De Singly, François, 1992, 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L’enquête et des méthodes : les questionnaire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, Paris, Nathan. </w:t>
            </w:r>
          </w:p>
          <w:p w:rsidR="00E4683E" w:rsidRPr="00E871F1" w:rsidRDefault="00E4683E" w:rsidP="00E4683E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Willems, Dominique, 1998, « Données et théories en linguistique : réflexions sur une relation tumultueuse et changeante », dans Mireille Bilger, Karel van den Eynde, Françoise Gadet (édité par), 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Analyse linguistique et approches de l’oral. Recueil d’études offert en hommage à Claire Blanche-Benveniste 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(</w:t>
            </w:r>
            <w:r w:rsidRPr="00E871F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Orbis / Supplementa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tome 10), Leuven-Paris, Peeters, pp. 79-87.</w:t>
            </w:r>
          </w:p>
          <w:p w:rsidR="00C94DCA" w:rsidRPr="00E871F1" w:rsidRDefault="00E4683E" w:rsidP="00CA0D08">
            <w:pPr>
              <w:pStyle w:val="Listecouleur-Accent11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</w:pP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Williams, Geoffrey (dir.), 2005, </w:t>
            </w:r>
            <w:r w:rsidRPr="00E871F1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La linguistique de corpus</w:t>
            </w:r>
            <w:r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, Presses Universitaires de Rennes</w:t>
            </w:r>
            <w:r w:rsidR="00E871F1" w:rsidRPr="00E871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</w:t>
            </w:r>
          </w:p>
          <w:p w:rsidR="00C94DCA" w:rsidRPr="007C5840" w:rsidRDefault="00C94DCA" w:rsidP="00CA0D08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contenu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des </w:t>
            </w:r>
            <w:proofErr w:type="spellStart"/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seminaires</w:t>
            </w:r>
            <w:proofErr w:type="spellEnd"/>
          </w:p>
        </w:tc>
      </w:tr>
      <w:tr w:rsidR="00B0090F" w:rsidRPr="00A3724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B2EE7" w:rsidRPr="00A3724C" w:rsidRDefault="00DB2EE7" w:rsidP="00DB2EE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1. La grammaire et le rapport entre théorie et types de données (d’introspection ou d’observation/cueillies sur le terrain). Analyse à partir de plusieurs grammaires de la langue française.</w:t>
            </w:r>
          </w:p>
          <w:p w:rsidR="00DB2EE7" w:rsidRPr="00A3724C" w:rsidRDefault="00DB2EE7" w:rsidP="00A3724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2. </w:t>
            </w:r>
            <w:r w:rsidR="00A806DB" w:rsidRPr="00A3724C">
              <w:rPr>
                <w:rFonts w:ascii="Arial" w:hAnsi="Arial" w:cs="Arial"/>
                <w:sz w:val="20"/>
                <w:szCs w:val="20"/>
                <w:lang w:val="fr-FR"/>
              </w:rPr>
              <w:t>Analyse et discussion d’une série de questionnaires construits dans des buts de recherche/didactiques.</w:t>
            </w:r>
          </w:p>
          <w:p w:rsidR="00A806DB" w:rsidRPr="00A3724C" w:rsidRDefault="00A806DB" w:rsidP="00DB2E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3. L’enquête dialectologique. Principes de l’enquête dialectologique</w:t>
            </w:r>
            <w:r w:rsidR="00EA5CA4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. Les atlas linguistiques. </w:t>
            </w:r>
          </w:p>
          <w:p w:rsidR="00E4683E" w:rsidRPr="00A3724C" w:rsidRDefault="00EA5CA4" w:rsidP="00E468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4.</w:t>
            </w:r>
            <w:r w:rsid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E4683E" w:rsidRPr="00A3724C">
              <w:rPr>
                <w:rFonts w:ascii="Arial" w:hAnsi="Arial" w:cs="Arial"/>
                <w:sz w:val="20"/>
                <w:szCs w:val="20"/>
                <w:lang w:val="fr-FR"/>
              </w:rPr>
              <w:t>Données « écologiques » : un corpus acadien d’émissions de radio communautaire (Nouvelle-Écosse).</w:t>
            </w:r>
            <w:r w:rsid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="00E4683E" w:rsidRPr="00A3724C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proofErr w:type="gramEnd"/>
            <w:r w:rsidR="00E4683E" w:rsidRPr="00A3724C">
              <w:rPr>
                <w:rFonts w:ascii="Arial" w:hAnsi="Arial" w:cs="Arial"/>
                <w:sz w:val="20"/>
                <w:szCs w:val="20"/>
                <w:lang w:val="fr-FR"/>
              </w:rPr>
              <w:t xml:space="preserve"> terrain au texte, des données à l’analyse.</w:t>
            </w:r>
          </w:p>
          <w:p w:rsidR="00E4683E" w:rsidRPr="00A3724C" w:rsidRDefault="00E4683E" w:rsidP="00E468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4.1. De l’oral à l’écrit ou l’imparfaite transposition de l’oral par le scriptural.</w:t>
            </w:r>
          </w:p>
          <w:p w:rsidR="00E4683E" w:rsidRPr="00A3724C" w:rsidRDefault="00E4683E" w:rsidP="00E468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4.2. De quelques options de transcription et de leurs impacts sur la conceptualisation.</w:t>
            </w:r>
          </w:p>
          <w:p w:rsidR="00E4683E" w:rsidRPr="00A3724C" w:rsidRDefault="00E4683E" w:rsidP="00E468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2.1.</w:t>
            </w: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Bien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[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bjɛ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̃], </w:t>
            </w:r>
            <w:proofErr w:type="spellStart"/>
            <w:r w:rsidRPr="00A3724C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ben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[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bɛ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̃], </w:t>
            </w:r>
            <w:proofErr w:type="spellStart"/>
            <w:r w:rsidRPr="00A3724C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ben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[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bͻn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]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E4683E" w:rsidRPr="00A3724C" w:rsidRDefault="00E4683E" w:rsidP="00E468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2.2.</w:t>
            </w: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Transcription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et contact de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langues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EA5CA4" w:rsidRPr="00A3724C" w:rsidRDefault="00E4683E" w:rsidP="00E468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4.2.3.</w:t>
            </w:r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Variation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phonétique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formes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dialectales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archaïques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populaires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A3724C">
              <w:rPr>
                <w:rFonts w:ascii="Arial" w:hAnsi="Arial" w:cs="Arial"/>
                <w:sz w:val="20"/>
                <w:szCs w:val="20"/>
                <w:lang w:val="ro-RO"/>
              </w:rPr>
              <w:t>lexicalisation</w:t>
            </w:r>
            <w:proofErr w:type="spellEnd"/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BB10A6" w:rsidRPr="00A3724C" w:rsidRDefault="00E4683E" w:rsidP="00E6102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sz w:val="20"/>
                <w:szCs w:val="20"/>
                <w:lang w:val="fr-FR"/>
              </w:rPr>
              <w:t>5. Exercices de transcription de fragments de différents corpus oraux.</w:t>
            </w:r>
          </w:p>
        </w:tc>
      </w:tr>
      <w:tr w:rsidR="00B0090F" w:rsidRPr="00A3724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7C5840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bibliographie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recommandee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pour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les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A698C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seminaires</w:t>
            </w:r>
            <w:proofErr w:type="spellEnd"/>
          </w:p>
        </w:tc>
      </w:tr>
      <w:tr w:rsidR="00B0090F" w:rsidRPr="00D53810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871F1" w:rsidRDefault="00E871F1" w:rsidP="00E871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Bilger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, Mireille (</w:t>
            </w: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coord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proofErr w:type="gram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), 2008, 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Données orales. Les enjeux de la transcription</w:t>
            </w: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Cahiers de l’Université de Perpignan</w:t>
            </w: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, n° 37), Presses Universitaires de Perpignan.</w:t>
            </w:r>
          </w:p>
          <w:p w:rsidR="00E871F1" w:rsidRDefault="00E871F1" w:rsidP="00E871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Bilger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Mireille, 2000, « Au sujet de la représentation de la langue parlée », </w:t>
            </w:r>
            <w:proofErr w:type="spellStart"/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Linx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42 </w:t>
            </w:r>
            <w:proofErr w:type="gram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(«Approches</w:t>
            </w:r>
            <w:proofErr w:type="gram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 sociolinguistiques du plan phonique »),  pp. 151-156.</w:t>
            </w:r>
          </w:p>
          <w:p w:rsidR="00E871F1" w:rsidRPr="00E871F1" w:rsidRDefault="00E871F1" w:rsidP="00E871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Cappeau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Paul et al., </w:t>
            </w:r>
            <w:proofErr w:type="gram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2011,  «</w:t>
            </w:r>
            <w:proofErr w:type="gram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 Les incidences de quelques aspects de la transcription outillée », </w:t>
            </w:r>
            <w:proofErr w:type="spellStart"/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Linx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, 64-65, pp. 85-100.</w:t>
            </w:r>
          </w:p>
          <w:p w:rsidR="00E871F1" w:rsidRDefault="00E871F1" w:rsidP="00E871F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eastAsia="TimesNewRoman" w:hAnsi="Arial" w:cs="Arial"/>
                <w:sz w:val="20"/>
                <w:szCs w:val="20"/>
                <w:lang w:val="fr-FR"/>
              </w:rPr>
              <w:t>Dalbera</w:t>
            </w:r>
            <w:proofErr w:type="spellEnd"/>
            <w:r w:rsidRPr="00E871F1">
              <w:rPr>
                <w:rFonts w:ascii="Arial" w:eastAsia="TimesNewRoman" w:hAnsi="Arial" w:cs="Arial"/>
                <w:sz w:val="20"/>
                <w:szCs w:val="20"/>
                <w:lang w:val="fr-FR"/>
              </w:rPr>
              <w:t xml:space="preserve">, Jean-Philippe, 2002, « Le corpus entre données, analyse et théorie », 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Corpus</w:t>
            </w: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 [En ligne] (« Corpus et recherches linguistiques »), 1, mis en ligne le 15 décembre 2003, consulté le 11 mars 2016. URL : </w:t>
            </w:r>
            <w:hyperlink r:id="rId5" w:history="1">
              <w:r w:rsidR="00D65462" w:rsidRPr="009D61E4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http://corpus.revues.org/10</w:t>
              </w:r>
            </w:hyperlink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D65462" w:rsidRPr="00D65462" w:rsidRDefault="00D65462" w:rsidP="00D6546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Mayaffre</w:t>
            </w:r>
            <w:proofErr w:type="spell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, Damon, 2002, « Les corpus </w:t>
            </w:r>
            <w:r w:rsidRPr="00D65462">
              <w:rPr>
                <w:rFonts w:ascii="Arial" w:hAnsi="Arial" w:cs="Arial"/>
                <w:i/>
                <w:sz w:val="20"/>
                <w:szCs w:val="20"/>
                <w:lang w:val="fr-FR"/>
              </w:rPr>
              <w:t>réflexifs</w:t>
            </w:r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 : entre </w:t>
            </w:r>
            <w:proofErr w:type="spellStart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architextualité</w:t>
            </w:r>
            <w:proofErr w:type="spell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proofErr w:type="spellStart"/>
            <w:proofErr w:type="gramStart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hypertextualité</w:t>
            </w:r>
            <w:proofErr w:type="spell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  »</w:t>
            </w:r>
            <w:proofErr w:type="gram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D65462">
              <w:rPr>
                <w:rFonts w:ascii="Arial" w:hAnsi="Arial" w:cs="Arial"/>
                <w:i/>
                <w:sz w:val="20"/>
                <w:szCs w:val="20"/>
                <w:lang w:val="fr-FR"/>
              </w:rPr>
              <w:t>Corpus</w:t>
            </w:r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 [En ligne] (« Corpus et recherches linguistiques »), 1, mis en ligne le 15 décembre 2003, consulté le 03 avril 2016. URL : </w:t>
            </w:r>
            <w:hyperlink r:id="rId6" w:history="1">
              <w:r w:rsidRPr="00D654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http://corpus.revues.org/11</w:t>
              </w:r>
            </w:hyperlink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E871F1" w:rsidRPr="00D65462" w:rsidRDefault="00D65462" w:rsidP="00D6546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Mayaffre</w:t>
            </w:r>
            <w:proofErr w:type="spell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, Damon, 2005, « Les corpus politiques : objet, méthode et contenu. </w:t>
            </w:r>
            <w:proofErr w:type="gramStart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>Introduction  »</w:t>
            </w:r>
            <w:proofErr w:type="gramEnd"/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D65462">
              <w:rPr>
                <w:rFonts w:ascii="Arial" w:hAnsi="Arial" w:cs="Arial"/>
                <w:i/>
                <w:sz w:val="20"/>
                <w:szCs w:val="20"/>
                <w:lang w:val="fr-FR"/>
              </w:rPr>
              <w:t>Corpus</w:t>
            </w:r>
            <w:r w:rsidRPr="00D65462">
              <w:rPr>
                <w:rFonts w:ascii="Arial" w:hAnsi="Arial" w:cs="Arial"/>
                <w:sz w:val="20"/>
                <w:szCs w:val="20"/>
                <w:lang w:val="fr-FR"/>
              </w:rPr>
              <w:t xml:space="preserve"> [En ligne] (« Les corpus politiques : objet, méthode et contenu »), 4, mis en ligne le 05 septembre 2006, consulté le 23 décembre 2015. </w:t>
            </w:r>
            <w:proofErr w:type="gramStart"/>
            <w:r w:rsidRPr="00D65462">
              <w:rPr>
                <w:rFonts w:ascii="Arial" w:hAnsi="Arial" w:cs="Arial"/>
                <w:sz w:val="20"/>
                <w:szCs w:val="20"/>
              </w:rPr>
              <w:t>URL :</w:t>
            </w:r>
            <w:proofErr w:type="gramEnd"/>
            <w:r w:rsidRPr="00D65462">
              <w:rPr>
                <w:rFonts w:ascii="Arial" w:hAnsi="Arial" w:cs="Arial"/>
                <w:sz w:val="20"/>
                <w:szCs w:val="20"/>
              </w:rPr>
              <w:t xml:space="preserve"> http://corpus.revues.org/292. </w:t>
            </w:r>
          </w:p>
          <w:p w:rsidR="00E871F1" w:rsidRPr="00E871F1" w:rsidRDefault="00E871F1" w:rsidP="00E871F1">
            <w:pPr>
              <w:pStyle w:val="Paragraphedeliste"/>
              <w:numPr>
                <w:ilvl w:val="0"/>
                <w:numId w:val="30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Mondada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Lorenza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2000, « Les effets théoriques des pratiques de transcription », </w:t>
            </w:r>
            <w:proofErr w:type="spellStart"/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Linx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, 42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(«Approches</w:t>
            </w:r>
            <w:proofErr w:type="gram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 sociolinguistiques du plan phonique »), pp. 131-146.</w:t>
            </w:r>
          </w:p>
          <w:p w:rsidR="00E871F1" w:rsidRPr="00E871F1" w:rsidRDefault="00E871F1" w:rsidP="00E871F1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Petraş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Cristina, 2016, </w:t>
            </w:r>
            <w:r w:rsidRPr="00E871F1">
              <w:rPr>
                <w:rFonts w:ascii="Arial" w:hAnsi="Arial" w:cs="Arial"/>
                <w:i/>
                <w:sz w:val="20"/>
                <w:szCs w:val="20"/>
                <w:lang w:val="fr-FR"/>
              </w:rPr>
              <w:t>Contact de langues et changement linguistique en français acadien de la Nouvelle-Ecosse. Les marqueurs discursifs</w:t>
            </w:r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 xml:space="preserve">, Paris, </w:t>
            </w:r>
            <w:proofErr w:type="spellStart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L’Harmattan</w:t>
            </w:r>
            <w:proofErr w:type="spellEnd"/>
            <w:r w:rsidRPr="00E871F1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C94DCA" w:rsidRPr="007C5840" w:rsidRDefault="00C94DCA" w:rsidP="00E871F1">
            <w:pPr>
              <w:ind w:left="36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0090F" w:rsidRPr="007C584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C5840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5840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C5840" w:rsidRDefault="00331DCA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Style w:val="Rfrencelgre"/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é</w:t>
            </w:r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thodes</w:t>
            </w:r>
            <w:proofErr w:type="spellEnd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</w:p>
        </w:tc>
      </w:tr>
      <w:tr w:rsidR="00B0090F" w:rsidRPr="00A3724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methodes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E907FE" w:rsidRDefault="00D6516E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Le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cours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combine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exposés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interactifs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d’un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cours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magistral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avec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débats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applications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utilisant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0B68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des </w:t>
            </w:r>
            <w:proofErr w:type="spellStart"/>
            <w:r w:rsidR="000B6852" w:rsidRPr="00987EE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présentations</w:t>
            </w:r>
            <w:proofErr w:type="spellEnd"/>
            <w:r w:rsidR="000B6852" w:rsidRPr="00987EE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en PPT</w:t>
            </w:r>
            <w:r w:rsidR="000B6852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</w:t>
            </w:r>
            <w:r w:rsidR="000B6852"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des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supports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audio-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vidéo</w:t>
            </w:r>
            <w:proofErr w:type="spellEnd"/>
            <w:r w:rsidR="00A3724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et </w:t>
            </w:r>
            <w:r w:rsidR="00A3724C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</w:t>
            </w:r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es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ressources</w:t>
            </w:r>
            <w:proofErr w:type="spellEnd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E907FE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ligne</w:t>
            </w:r>
            <w:proofErr w:type="spellEnd"/>
            <w:r w:rsidR="00E40C27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B0090F" w:rsidRPr="001622B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methodes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d’evaluation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622BF" w:rsidRPr="00A3724C" w:rsidRDefault="001622BF" w:rsidP="001622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93534D"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</w:t>
            </w:r>
            <w:r w:rsidR="00E40C27"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valuation</w:t>
            </w:r>
            <w:proofErr w:type="spellEnd"/>
            <w:r w:rsidR="00E40C27"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</w:t>
            </w:r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u dossier à </w:t>
            </w:r>
            <w:proofErr w:type="spellStart"/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preparer</w:t>
            </w:r>
            <w:proofErr w:type="spellEnd"/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pour la fin du semestre (75%) </w:t>
            </w:r>
          </w:p>
          <w:p w:rsidR="001622BF" w:rsidRPr="00A3724C" w:rsidRDefault="001622BF" w:rsidP="001622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a. élaborer un questionnaire dans une visée de recherche, éventuellement par rapport au mémoire de master ; </w:t>
            </w:r>
          </w:p>
          <w:p w:rsidR="001622BF" w:rsidRPr="00A3724C" w:rsidRDefault="001622BF" w:rsidP="001622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b. transcription d’un corpus oral, expliquer les options de transcription</w:t>
            </w:r>
            <w:r w:rsid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 projeter des types d’analyse possibles.</w:t>
            </w:r>
          </w:p>
          <w:p w:rsidR="00B0090F" w:rsidRPr="00A3724C" w:rsidRDefault="001622BF" w:rsidP="001622B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- </w:t>
            </w:r>
            <w:r w:rsidR="0093534D"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contrôle continu (25%)</w:t>
            </w:r>
          </w:p>
        </w:tc>
      </w:tr>
      <w:tr w:rsidR="00B0090F" w:rsidRPr="007C584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C5840" w:rsidRDefault="007C5840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3724C" w:rsidRDefault="0093534D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A3724C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français</w:t>
            </w:r>
            <w:proofErr w:type="spellEnd"/>
          </w:p>
        </w:tc>
      </w:tr>
    </w:tbl>
    <w:p w:rsidR="00B0090F" w:rsidRPr="007C5840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7C584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7F4"/>
    <w:multiLevelType w:val="hybridMultilevel"/>
    <w:tmpl w:val="84B0C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BE3"/>
    <w:multiLevelType w:val="hybridMultilevel"/>
    <w:tmpl w:val="EFAACF56"/>
    <w:lvl w:ilvl="0" w:tplc="9682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4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E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4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2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8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27B5B"/>
    <w:multiLevelType w:val="hybridMultilevel"/>
    <w:tmpl w:val="3C225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36B5"/>
    <w:multiLevelType w:val="hybridMultilevel"/>
    <w:tmpl w:val="5F9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23DC5D71"/>
    <w:multiLevelType w:val="hybridMultilevel"/>
    <w:tmpl w:val="E85A76A8"/>
    <w:lvl w:ilvl="0" w:tplc="142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324"/>
    <w:multiLevelType w:val="hybridMultilevel"/>
    <w:tmpl w:val="CCA46C80"/>
    <w:lvl w:ilvl="0" w:tplc="32C6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767E"/>
    <w:multiLevelType w:val="hybridMultilevel"/>
    <w:tmpl w:val="4C84B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94321"/>
    <w:multiLevelType w:val="hybridMultilevel"/>
    <w:tmpl w:val="B5588B60"/>
    <w:lvl w:ilvl="0" w:tplc="7996E7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F80E2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B141C2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71F67C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40A0A7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5D0DC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00585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DE08B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71EA8D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EC51007"/>
    <w:multiLevelType w:val="hybridMultilevel"/>
    <w:tmpl w:val="2C0C4CA6"/>
    <w:lvl w:ilvl="0" w:tplc="F3A4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A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2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2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54185"/>
    <w:multiLevelType w:val="hybridMultilevel"/>
    <w:tmpl w:val="EF6C8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27999"/>
    <w:multiLevelType w:val="hybridMultilevel"/>
    <w:tmpl w:val="21E2663A"/>
    <w:lvl w:ilvl="0" w:tplc="4EAEE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0217290"/>
    <w:multiLevelType w:val="hybridMultilevel"/>
    <w:tmpl w:val="4A7CF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83D81"/>
    <w:multiLevelType w:val="hybridMultilevel"/>
    <w:tmpl w:val="5890E702"/>
    <w:lvl w:ilvl="0" w:tplc="F848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6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8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4A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7017"/>
    <w:multiLevelType w:val="hybridMultilevel"/>
    <w:tmpl w:val="0246A2E8"/>
    <w:lvl w:ilvl="0" w:tplc="3E3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8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6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AB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A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8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26"/>
  </w:num>
  <w:num w:numId="14">
    <w:abstractNumId w:val="29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2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20"/>
  </w:num>
  <w:num w:numId="24">
    <w:abstractNumId w:val="5"/>
  </w:num>
  <w:num w:numId="25">
    <w:abstractNumId w:val="3"/>
  </w:num>
  <w:num w:numId="26">
    <w:abstractNumId w:val="25"/>
  </w:num>
  <w:num w:numId="27">
    <w:abstractNumId w:val="2"/>
  </w:num>
  <w:num w:numId="28">
    <w:abstractNumId w:val="15"/>
  </w:num>
  <w:num w:numId="29">
    <w:abstractNumId w:val="23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601E"/>
    <w:rsid w:val="000A5E76"/>
    <w:rsid w:val="000B6852"/>
    <w:rsid w:val="000C62C9"/>
    <w:rsid w:val="000E2602"/>
    <w:rsid w:val="000F4011"/>
    <w:rsid w:val="001413A6"/>
    <w:rsid w:val="001622BF"/>
    <w:rsid w:val="0016725D"/>
    <w:rsid w:val="00231326"/>
    <w:rsid w:val="00254D05"/>
    <w:rsid w:val="0026708D"/>
    <w:rsid w:val="002A1706"/>
    <w:rsid w:val="002B6A6C"/>
    <w:rsid w:val="00316776"/>
    <w:rsid w:val="00331DCA"/>
    <w:rsid w:val="003A21D2"/>
    <w:rsid w:val="003A698C"/>
    <w:rsid w:val="003C1E48"/>
    <w:rsid w:val="003C52B7"/>
    <w:rsid w:val="00427C2F"/>
    <w:rsid w:val="00491D77"/>
    <w:rsid w:val="004C02A3"/>
    <w:rsid w:val="004C41C2"/>
    <w:rsid w:val="004D0D05"/>
    <w:rsid w:val="004F6165"/>
    <w:rsid w:val="00542EF7"/>
    <w:rsid w:val="0054693B"/>
    <w:rsid w:val="00570420"/>
    <w:rsid w:val="006026A8"/>
    <w:rsid w:val="00647103"/>
    <w:rsid w:val="006852DA"/>
    <w:rsid w:val="00686349"/>
    <w:rsid w:val="00696887"/>
    <w:rsid w:val="006E0B65"/>
    <w:rsid w:val="0075756B"/>
    <w:rsid w:val="00793C40"/>
    <w:rsid w:val="007C5840"/>
    <w:rsid w:val="008003E6"/>
    <w:rsid w:val="00814805"/>
    <w:rsid w:val="008213CA"/>
    <w:rsid w:val="008871DD"/>
    <w:rsid w:val="008C0509"/>
    <w:rsid w:val="008D56B5"/>
    <w:rsid w:val="0093534D"/>
    <w:rsid w:val="009472FD"/>
    <w:rsid w:val="009614D4"/>
    <w:rsid w:val="00965B94"/>
    <w:rsid w:val="009A063F"/>
    <w:rsid w:val="009A7228"/>
    <w:rsid w:val="009C308C"/>
    <w:rsid w:val="009E186A"/>
    <w:rsid w:val="00A0766D"/>
    <w:rsid w:val="00A25C97"/>
    <w:rsid w:val="00A3724C"/>
    <w:rsid w:val="00A806DB"/>
    <w:rsid w:val="00AE348A"/>
    <w:rsid w:val="00B0090F"/>
    <w:rsid w:val="00B13E2F"/>
    <w:rsid w:val="00B85825"/>
    <w:rsid w:val="00BB10A6"/>
    <w:rsid w:val="00BD750F"/>
    <w:rsid w:val="00BF57D7"/>
    <w:rsid w:val="00C31133"/>
    <w:rsid w:val="00C44228"/>
    <w:rsid w:val="00C8093F"/>
    <w:rsid w:val="00C9248B"/>
    <w:rsid w:val="00C94DCA"/>
    <w:rsid w:val="00CA0D08"/>
    <w:rsid w:val="00D14A3A"/>
    <w:rsid w:val="00D42143"/>
    <w:rsid w:val="00D47F15"/>
    <w:rsid w:val="00D53810"/>
    <w:rsid w:val="00D6516E"/>
    <w:rsid w:val="00D65462"/>
    <w:rsid w:val="00DB1C6A"/>
    <w:rsid w:val="00DB2EE7"/>
    <w:rsid w:val="00DC554A"/>
    <w:rsid w:val="00DE758A"/>
    <w:rsid w:val="00E00DE9"/>
    <w:rsid w:val="00E40C27"/>
    <w:rsid w:val="00E4683E"/>
    <w:rsid w:val="00E6102E"/>
    <w:rsid w:val="00E871F1"/>
    <w:rsid w:val="00E907FE"/>
    <w:rsid w:val="00EA5CA4"/>
    <w:rsid w:val="00EE70AA"/>
    <w:rsid w:val="00EF6CEA"/>
    <w:rsid w:val="00F25394"/>
    <w:rsid w:val="00F53005"/>
    <w:rsid w:val="00F66734"/>
    <w:rsid w:val="00FB64A9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DEAA2"/>
  <w15:docId w15:val="{FAD7F3BA-0D6D-0B45-965E-AC96D93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7D7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72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couleur-Accent11">
    <w:name w:val="Liste couleur - Accent 11"/>
    <w:basedOn w:val="Normal"/>
    <w:uiPriority w:val="34"/>
    <w:qFormat/>
    <w:rsid w:val="00BF57D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0C62C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23132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5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0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3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4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us.revues.org/11" TargetMode="External"/><Relationship Id="rId5" Type="http://schemas.openxmlformats.org/officeDocument/2006/relationships/hyperlink" Target="http://corpus.revues.org/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1303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Cristina Petras</cp:lastModifiedBy>
  <cp:revision>17</cp:revision>
  <dcterms:created xsi:type="dcterms:W3CDTF">2019-12-07T18:14:00Z</dcterms:created>
  <dcterms:modified xsi:type="dcterms:W3CDTF">2019-12-08T17:49:00Z</dcterms:modified>
</cp:coreProperties>
</file>