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23" w:rsidRPr="0012336F" w:rsidRDefault="00115823" w:rsidP="00115823">
      <w:pPr>
        <w:spacing w:after="0" w:line="240" w:lineRule="auto"/>
        <w:rPr>
          <w:rStyle w:val="SubtleReference"/>
          <w:rFonts w:cstheme="minorHAnsi"/>
        </w:rPr>
      </w:pPr>
      <w:r w:rsidRPr="0012336F">
        <w:rPr>
          <w:rStyle w:val="SubtleReference"/>
          <w:rFonts w:cstheme="minorHAnsi"/>
        </w:rPr>
        <w:t xml:space="preserve">Academic course description  </w:t>
      </w:r>
    </w:p>
    <w:p w:rsidR="00115823" w:rsidRPr="0012336F" w:rsidRDefault="00115823" w:rsidP="00115823">
      <w:pPr>
        <w:spacing w:after="0" w:line="240" w:lineRule="auto"/>
        <w:ind w:firstLine="720"/>
        <w:jc w:val="both"/>
        <w:rPr>
          <w:rFonts w:cstheme="minorHAnsi"/>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36C0A" w:themeFill="accent6" w:themeFillShade="BF"/>
        <w:tblLook w:val="04A0" w:firstRow="1" w:lastRow="0" w:firstColumn="1" w:lastColumn="0" w:noHBand="0" w:noVBand="1"/>
      </w:tblPr>
      <w:tblGrid>
        <w:gridCol w:w="9209"/>
      </w:tblGrid>
      <w:tr w:rsidR="00115823" w:rsidRPr="0012336F" w:rsidTr="00F15F7D">
        <w:tc>
          <w:tcPr>
            <w:tcW w:w="9209" w:type="dxa"/>
            <w:shd w:val="clear" w:color="auto" w:fill="A6A6A6" w:themeFill="background1" w:themeFillShade="A6"/>
          </w:tcPr>
          <w:p w:rsidR="00115823" w:rsidRPr="0012336F" w:rsidRDefault="00115823" w:rsidP="00F15F7D">
            <w:pPr>
              <w:pStyle w:val="Heading5"/>
              <w:spacing w:before="0" w:line="240" w:lineRule="auto"/>
              <w:jc w:val="center"/>
              <w:outlineLvl w:val="4"/>
              <w:rPr>
                <w:rStyle w:val="SubtleReference"/>
                <w:rFonts w:asciiTheme="minorHAnsi" w:hAnsiTheme="minorHAnsi" w:cstheme="minorHAnsi"/>
                <w:b/>
                <w:smallCaps w:val="0"/>
                <w:color w:val="FFFFFF" w:themeColor="background1"/>
              </w:rPr>
            </w:pPr>
            <w:r w:rsidRPr="0012336F">
              <w:rPr>
                <w:rStyle w:val="SubtleReference"/>
                <w:rFonts w:asciiTheme="minorHAnsi" w:hAnsiTheme="minorHAnsi" w:cstheme="minorHAnsi"/>
                <w:color w:val="FFFFFF" w:themeColor="background1"/>
              </w:rPr>
              <w:t>BA PROGRAMME</w:t>
            </w:r>
            <w:r w:rsidRPr="0012336F">
              <w:rPr>
                <w:rStyle w:val="SubtleReference"/>
                <w:rFonts w:asciiTheme="minorHAnsi" w:hAnsiTheme="minorHAnsi" w:cstheme="minorHAnsi"/>
                <w:b/>
                <w:color w:val="FFFFFF" w:themeColor="background1"/>
              </w:rPr>
              <w:t xml:space="preserve"> </w:t>
            </w:r>
          </w:p>
          <w:p w:rsidR="00115823" w:rsidRPr="0012336F" w:rsidRDefault="00115823" w:rsidP="00F15F7D">
            <w:pPr>
              <w:pStyle w:val="Heading5"/>
              <w:spacing w:before="0" w:line="240" w:lineRule="auto"/>
              <w:jc w:val="center"/>
              <w:outlineLvl w:val="4"/>
              <w:rPr>
                <w:rStyle w:val="SubtleReference"/>
                <w:rFonts w:asciiTheme="minorHAnsi" w:hAnsiTheme="minorHAnsi" w:cstheme="minorHAnsi"/>
                <w:b/>
                <w:smallCaps w:val="0"/>
                <w:color w:val="FF0000"/>
              </w:rPr>
            </w:pPr>
            <w:bookmarkStart w:id="0" w:name="_GoBack"/>
            <w:bookmarkEnd w:id="0"/>
            <w:r w:rsidRPr="0012336F">
              <w:rPr>
                <w:rStyle w:val="SubtleReference"/>
                <w:rFonts w:asciiTheme="minorHAnsi" w:hAnsiTheme="minorHAnsi" w:cstheme="minorHAnsi"/>
                <w:b/>
                <w:color w:val="FF0000"/>
              </w:rPr>
              <w:t xml:space="preserve">American </w:t>
            </w:r>
            <w:r w:rsidR="00E021F0">
              <w:rPr>
                <w:rStyle w:val="SubtleReference"/>
                <w:rFonts w:asciiTheme="minorHAnsi" w:hAnsiTheme="minorHAnsi" w:cstheme="minorHAnsi"/>
                <w:b/>
                <w:color w:val="FF0000"/>
              </w:rPr>
              <w:t>S</w:t>
            </w:r>
            <w:r w:rsidRPr="0012336F">
              <w:rPr>
                <w:rStyle w:val="SubtleReference"/>
                <w:rFonts w:asciiTheme="minorHAnsi" w:hAnsiTheme="minorHAnsi" w:cstheme="minorHAnsi"/>
                <w:b/>
                <w:color w:val="FF0000"/>
              </w:rPr>
              <w:t>tudies</w:t>
            </w:r>
          </w:p>
          <w:p w:rsidR="00115823" w:rsidRPr="0012336F" w:rsidRDefault="00115823" w:rsidP="00F15F7D">
            <w:pPr>
              <w:pStyle w:val="Heading5"/>
              <w:spacing w:before="0" w:line="240" w:lineRule="auto"/>
              <w:jc w:val="center"/>
              <w:outlineLvl w:val="4"/>
              <w:rPr>
                <w:rFonts w:asciiTheme="minorHAnsi" w:hAnsiTheme="minorHAnsi" w:cstheme="minorHAnsi"/>
              </w:rPr>
            </w:pPr>
            <w:proofErr w:type="gramStart"/>
            <w:r w:rsidRPr="0012336F">
              <w:rPr>
                <w:rStyle w:val="SubtleReference"/>
                <w:rFonts w:asciiTheme="minorHAnsi" w:hAnsiTheme="minorHAnsi" w:cstheme="minorHAnsi"/>
                <w:color w:val="FF0000"/>
              </w:rPr>
              <w:t>2</w:t>
            </w:r>
            <w:r w:rsidRPr="0012336F">
              <w:rPr>
                <w:rStyle w:val="SubtleReference"/>
                <w:rFonts w:asciiTheme="minorHAnsi" w:hAnsiTheme="minorHAnsi" w:cstheme="minorHAnsi"/>
                <w:color w:val="FF0000"/>
                <w:vertAlign w:val="superscript"/>
              </w:rPr>
              <w:t>nd</w:t>
            </w:r>
            <w:r w:rsidRPr="0012336F">
              <w:rPr>
                <w:rStyle w:val="SubtleReference"/>
                <w:rFonts w:asciiTheme="minorHAnsi" w:hAnsiTheme="minorHAnsi" w:cstheme="minorHAnsi"/>
                <w:color w:val="FF0000"/>
              </w:rPr>
              <w:t xml:space="preserve">  </w:t>
            </w:r>
            <w:r w:rsidRPr="0012336F">
              <w:rPr>
                <w:rStyle w:val="SubtleReference"/>
                <w:rFonts w:asciiTheme="minorHAnsi" w:hAnsiTheme="minorHAnsi" w:cstheme="minorHAnsi"/>
                <w:color w:val="FFFFFF" w:themeColor="background1"/>
              </w:rPr>
              <w:t>YEAR</w:t>
            </w:r>
            <w:proofErr w:type="gramEnd"/>
            <w:r w:rsidRPr="0012336F">
              <w:rPr>
                <w:rStyle w:val="SubtleReference"/>
                <w:rFonts w:asciiTheme="minorHAnsi" w:hAnsiTheme="minorHAnsi" w:cstheme="minorHAnsi"/>
                <w:color w:val="FFFFFF" w:themeColor="background1"/>
              </w:rPr>
              <w:t xml:space="preserve"> OF STUDY, </w:t>
            </w:r>
            <w:r w:rsidRPr="0012336F">
              <w:rPr>
                <w:rStyle w:val="SubtleReference"/>
                <w:rFonts w:asciiTheme="minorHAnsi" w:hAnsiTheme="minorHAnsi" w:cstheme="minorHAnsi"/>
                <w:color w:val="FF0000"/>
              </w:rPr>
              <w:t>2</w:t>
            </w:r>
            <w:r w:rsidRPr="0012336F">
              <w:rPr>
                <w:rStyle w:val="SubtleReference"/>
                <w:rFonts w:asciiTheme="minorHAnsi" w:hAnsiTheme="minorHAnsi" w:cstheme="minorHAnsi"/>
                <w:color w:val="FF0000"/>
                <w:vertAlign w:val="superscript"/>
              </w:rPr>
              <w:t>nd</w:t>
            </w:r>
            <w:r w:rsidRPr="0012336F">
              <w:rPr>
                <w:rStyle w:val="SubtleReference"/>
                <w:rFonts w:asciiTheme="minorHAnsi" w:hAnsiTheme="minorHAnsi" w:cstheme="minorHAnsi"/>
                <w:color w:val="FF0000"/>
              </w:rPr>
              <w:t xml:space="preserve"> </w:t>
            </w:r>
            <w:r w:rsidRPr="0012336F">
              <w:rPr>
                <w:rStyle w:val="SubtleReference"/>
                <w:rFonts w:asciiTheme="minorHAnsi" w:hAnsiTheme="minorHAnsi" w:cstheme="minorHAnsi"/>
                <w:color w:val="FFFFFF" w:themeColor="background1"/>
              </w:rPr>
              <w:t xml:space="preserve"> SEMESTER</w:t>
            </w:r>
          </w:p>
        </w:tc>
      </w:tr>
    </w:tbl>
    <w:p w:rsidR="00115823" w:rsidRPr="0012336F" w:rsidRDefault="00115823" w:rsidP="00115823">
      <w:pPr>
        <w:spacing w:after="0" w:line="240" w:lineRule="auto"/>
        <w:jc w:val="both"/>
        <w:rPr>
          <w:rStyle w:val="SubtleReference"/>
          <w:rFonts w:cstheme="minorHAnsi"/>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115823" w:rsidRPr="0012336F" w:rsidTr="00F15F7D">
        <w:tc>
          <w:tcPr>
            <w:tcW w:w="2972" w:type="dxa"/>
            <w:gridSpan w:val="2"/>
            <w:shd w:val="clear" w:color="auto" w:fill="A6A6A6" w:themeFill="background1" w:themeFillShade="A6"/>
          </w:tcPr>
          <w:p w:rsidR="00115823" w:rsidRPr="0012336F" w:rsidRDefault="00115823" w:rsidP="00F15F7D">
            <w:pPr>
              <w:spacing w:after="0" w:line="240" w:lineRule="auto"/>
              <w:rPr>
                <w:rStyle w:val="SubtleReference"/>
                <w:rFonts w:cstheme="minorHAnsi"/>
                <w:b/>
                <w:color w:val="FFFFFF" w:themeColor="background1"/>
              </w:rPr>
            </w:pPr>
            <w:r w:rsidRPr="0012336F">
              <w:rPr>
                <w:rStyle w:val="SubtleReference"/>
                <w:rFonts w:cstheme="minorHAnsi"/>
                <w:b/>
                <w:color w:val="FFFFFF" w:themeColor="background1"/>
              </w:rPr>
              <w:t>Course title</w:t>
            </w:r>
          </w:p>
        </w:tc>
        <w:tc>
          <w:tcPr>
            <w:tcW w:w="6237" w:type="dxa"/>
            <w:shd w:val="clear" w:color="auto" w:fill="A6A6A6" w:themeFill="background1" w:themeFillShade="A6"/>
          </w:tcPr>
          <w:p w:rsidR="00115823" w:rsidRPr="0012336F" w:rsidRDefault="00A73BAB" w:rsidP="00F15F7D">
            <w:pPr>
              <w:spacing w:after="0" w:line="240" w:lineRule="auto"/>
              <w:rPr>
                <w:rStyle w:val="SubtleReference"/>
                <w:rFonts w:cstheme="minorHAnsi"/>
                <w:b/>
                <w:color w:val="FFFFFF" w:themeColor="background1"/>
              </w:rPr>
            </w:pPr>
            <w:r>
              <w:rPr>
                <w:rStyle w:val="SubtleReference"/>
                <w:rFonts w:cstheme="minorHAnsi"/>
                <w:b/>
                <w:color w:val="FFFFFF" w:themeColor="background1"/>
              </w:rPr>
              <w:t>Literature and the arts (Film and literature: film adaptations of classical texts)</w:t>
            </w:r>
            <w:r w:rsidR="00E021F0">
              <w:rPr>
                <w:rStyle w:val="SubtleReference"/>
                <w:rFonts w:cstheme="minorHAnsi"/>
                <w:b/>
                <w:color w:val="FFFFFF" w:themeColor="background1"/>
              </w:rPr>
              <w:t xml:space="preserve"> (optional course)</w:t>
            </w:r>
          </w:p>
        </w:tc>
      </w:tr>
      <w:tr w:rsidR="00115823" w:rsidRPr="0012336F" w:rsidTr="00F15F7D">
        <w:tc>
          <w:tcPr>
            <w:tcW w:w="2972" w:type="dxa"/>
            <w:gridSpan w:val="2"/>
            <w:shd w:val="clear" w:color="auto" w:fill="F2F2F2" w:themeFill="background1" w:themeFillShade="F2"/>
          </w:tcPr>
          <w:p w:rsidR="00115823" w:rsidRPr="0012336F" w:rsidRDefault="00115823" w:rsidP="00F15F7D">
            <w:pPr>
              <w:spacing w:after="0" w:line="240" w:lineRule="auto"/>
              <w:rPr>
                <w:rStyle w:val="SubtleReference"/>
                <w:rFonts w:cstheme="minorHAnsi"/>
                <w:color w:val="000000" w:themeColor="text1"/>
              </w:rPr>
            </w:pPr>
            <w:r w:rsidRPr="0012336F">
              <w:rPr>
                <w:rStyle w:val="SubtleReference"/>
                <w:rFonts w:cstheme="minorHAnsi"/>
                <w:color w:val="000000" w:themeColor="text1"/>
              </w:rPr>
              <w:t>Course code</w:t>
            </w:r>
          </w:p>
        </w:tc>
        <w:tc>
          <w:tcPr>
            <w:tcW w:w="6237" w:type="dxa"/>
            <w:shd w:val="clear" w:color="auto" w:fill="F2F2F2" w:themeFill="background1" w:themeFillShade="F2"/>
          </w:tcPr>
          <w:p w:rsidR="00115823" w:rsidRPr="0012336F" w:rsidRDefault="00E021F0" w:rsidP="00F15F7D">
            <w:pPr>
              <w:spacing w:after="0" w:line="240" w:lineRule="auto"/>
              <w:rPr>
                <w:rFonts w:cstheme="minorHAnsi"/>
                <w:color w:val="000000" w:themeColor="text1"/>
              </w:rPr>
            </w:pPr>
            <w:r>
              <w:rPr>
                <w:rFonts w:ascii="Arial" w:hAnsi="Arial" w:cs="Arial"/>
                <w:sz w:val="19"/>
                <w:szCs w:val="19"/>
              </w:rPr>
              <w:t>SA2045A</w:t>
            </w:r>
          </w:p>
        </w:tc>
      </w:tr>
      <w:tr w:rsidR="00115823" w:rsidRPr="0012336F" w:rsidTr="00F15F7D">
        <w:tc>
          <w:tcPr>
            <w:tcW w:w="2972" w:type="dxa"/>
            <w:gridSpan w:val="2"/>
            <w:shd w:val="clear" w:color="auto" w:fill="F2F2F2" w:themeFill="background1" w:themeFillShade="F2"/>
          </w:tcPr>
          <w:p w:rsidR="00115823" w:rsidRPr="0012336F" w:rsidRDefault="00115823" w:rsidP="00F15F7D">
            <w:pPr>
              <w:spacing w:after="0" w:line="240" w:lineRule="auto"/>
              <w:rPr>
                <w:rStyle w:val="SubtleReference"/>
                <w:rFonts w:cstheme="minorHAnsi"/>
                <w:color w:val="000000" w:themeColor="text1"/>
              </w:rPr>
            </w:pPr>
            <w:r w:rsidRPr="0012336F">
              <w:rPr>
                <w:rStyle w:val="SubtleReference"/>
                <w:rFonts w:cstheme="minorHAnsi"/>
                <w:color w:val="000000" w:themeColor="text1"/>
              </w:rPr>
              <w:t>Course type</w:t>
            </w:r>
          </w:p>
        </w:tc>
        <w:tc>
          <w:tcPr>
            <w:tcW w:w="6237" w:type="dxa"/>
            <w:shd w:val="clear" w:color="auto" w:fill="F2F2F2" w:themeFill="background1" w:themeFillShade="F2"/>
          </w:tcPr>
          <w:p w:rsidR="00115823" w:rsidRPr="0012336F" w:rsidRDefault="00115823" w:rsidP="00F15F7D">
            <w:pPr>
              <w:spacing w:after="0" w:line="240" w:lineRule="auto"/>
              <w:rPr>
                <w:rFonts w:cstheme="minorHAnsi"/>
                <w:color w:val="000000" w:themeColor="text1"/>
              </w:rPr>
            </w:pPr>
            <w:r w:rsidRPr="0012336F">
              <w:rPr>
                <w:rFonts w:cstheme="minorHAnsi"/>
                <w:color w:val="FF0000"/>
              </w:rPr>
              <w:t>full attendance</w:t>
            </w:r>
          </w:p>
        </w:tc>
      </w:tr>
      <w:tr w:rsidR="00115823" w:rsidRPr="0012336F" w:rsidTr="00F15F7D">
        <w:tc>
          <w:tcPr>
            <w:tcW w:w="2972" w:type="dxa"/>
            <w:gridSpan w:val="2"/>
            <w:shd w:val="clear" w:color="auto" w:fill="F2F2F2" w:themeFill="background1" w:themeFillShade="F2"/>
          </w:tcPr>
          <w:p w:rsidR="00115823" w:rsidRPr="0012336F" w:rsidRDefault="00115823" w:rsidP="00F15F7D">
            <w:pPr>
              <w:spacing w:after="0" w:line="240" w:lineRule="auto"/>
              <w:rPr>
                <w:rStyle w:val="SubtleReference"/>
                <w:rFonts w:cstheme="minorHAnsi"/>
                <w:color w:val="000000" w:themeColor="text1"/>
              </w:rPr>
            </w:pPr>
            <w:r w:rsidRPr="0012336F">
              <w:rPr>
                <w:rStyle w:val="SubtleReference"/>
                <w:rFonts w:cstheme="minorHAnsi"/>
                <w:color w:val="000000" w:themeColor="text1"/>
              </w:rPr>
              <w:t>Course level</w:t>
            </w:r>
          </w:p>
        </w:tc>
        <w:tc>
          <w:tcPr>
            <w:tcW w:w="6237" w:type="dxa"/>
            <w:shd w:val="clear" w:color="auto" w:fill="F2F2F2" w:themeFill="background1" w:themeFillShade="F2"/>
          </w:tcPr>
          <w:p w:rsidR="00115823" w:rsidRPr="0012336F" w:rsidRDefault="00115823" w:rsidP="00F15F7D">
            <w:pPr>
              <w:spacing w:after="0" w:line="240" w:lineRule="auto"/>
              <w:rPr>
                <w:rFonts w:cstheme="minorHAnsi"/>
                <w:color w:val="000000" w:themeColor="text1"/>
                <w:lang w:val="fr-FR"/>
              </w:rPr>
            </w:pPr>
            <w:r w:rsidRPr="0012336F">
              <w:rPr>
                <w:rFonts w:cstheme="minorHAnsi"/>
                <w:color w:val="FF0000"/>
                <w:lang w:val="fr-FR"/>
              </w:rPr>
              <w:t xml:space="preserve">1st </w:t>
            </w:r>
            <w:r w:rsidRPr="0012336F">
              <w:rPr>
                <w:rFonts w:cstheme="minorHAnsi"/>
                <w:color w:val="000000" w:themeColor="text1"/>
                <w:lang w:val="fr-FR"/>
              </w:rPr>
              <w:t>cycle (</w:t>
            </w:r>
            <w:r w:rsidRPr="0012336F">
              <w:rPr>
                <w:rFonts w:cstheme="minorHAnsi"/>
                <w:color w:val="FF0000"/>
                <w:lang w:val="fr-FR"/>
              </w:rPr>
              <w:t>BA</w:t>
            </w:r>
            <w:r w:rsidRPr="0012336F">
              <w:rPr>
                <w:rFonts w:cstheme="minorHAnsi"/>
                <w:color w:val="000000" w:themeColor="text1"/>
                <w:lang w:val="fr-FR"/>
              </w:rPr>
              <w:t>)</w:t>
            </w:r>
          </w:p>
        </w:tc>
      </w:tr>
      <w:tr w:rsidR="00115823" w:rsidRPr="0012336F" w:rsidTr="00F15F7D">
        <w:tc>
          <w:tcPr>
            <w:tcW w:w="2972" w:type="dxa"/>
            <w:gridSpan w:val="2"/>
            <w:shd w:val="clear" w:color="auto" w:fill="F2F2F2" w:themeFill="background1" w:themeFillShade="F2"/>
          </w:tcPr>
          <w:p w:rsidR="00115823" w:rsidRPr="0012336F" w:rsidRDefault="00115823" w:rsidP="00F15F7D">
            <w:pPr>
              <w:spacing w:after="0" w:line="240" w:lineRule="auto"/>
              <w:rPr>
                <w:rStyle w:val="SubtleReference"/>
                <w:rFonts w:cstheme="minorHAnsi"/>
                <w:color w:val="000000" w:themeColor="text1"/>
              </w:rPr>
            </w:pPr>
            <w:r w:rsidRPr="0012336F">
              <w:rPr>
                <w:rStyle w:val="SubtleReference"/>
                <w:rFonts w:cstheme="minorHAnsi"/>
                <w:color w:val="000000" w:themeColor="text1"/>
              </w:rPr>
              <w:t>Year of study, semester</w:t>
            </w:r>
          </w:p>
        </w:tc>
        <w:tc>
          <w:tcPr>
            <w:tcW w:w="6237" w:type="dxa"/>
            <w:shd w:val="clear" w:color="auto" w:fill="F2F2F2" w:themeFill="background1" w:themeFillShade="F2"/>
          </w:tcPr>
          <w:p w:rsidR="00115823" w:rsidRPr="0012336F" w:rsidRDefault="00115823" w:rsidP="00F15F7D">
            <w:pPr>
              <w:spacing w:after="0" w:line="240" w:lineRule="auto"/>
              <w:rPr>
                <w:rFonts w:cstheme="minorHAnsi"/>
                <w:color w:val="000000" w:themeColor="text1"/>
              </w:rPr>
            </w:pPr>
            <w:r w:rsidRPr="0012336F">
              <w:rPr>
                <w:rFonts w:cstheme="minorHAnsi"/>
                <w:color w:val="FF0000"/>
              </w:rPr>
              <w:t>2</w:t>
            </w:r>
            <w:r w:rsidRPr="0012336F">
              <w:rPr>
                <w:rFonts w:cstheme="minorHAnsi"/>
                <w:color w:val="FF0000"/>
                <w:vertAlign w:val="superscript"/>
              </w:rPr>
              <w:t>nd</w:t>
            </w:r>
            <w:r w:rsidRPr="0012336F">
              <w:rPr>
                <w:rFonts w:cstheme="minorHAnsi"/>
                <w:color w:val="FF0000"/>
              </w:rPr>
              <w:t xml:space="preserve"> </w:t>
            </w:r>
            <w:r w:rsidRPr="0012336F">
              <w:rPr>
                <w:rFonts w:cstheme="minorHAnsi"/>
                <w:color w:val="000000" w:themeColor="text1"/>
              </w:rPr>
              <w:t>year of study,</w:t>
            </w:r>
            <w:r w:rsidRPr="0012336F">
              <w:rPr>
                <w:rFonts w:cstheme="minorHAnsi"/>
                <w:color w:val="FF0000"/>
              </w:rPr>
              <w:t xml:space="preserve"> 2</w:t>
            </w:r>
            <w:r w:rsidRPr="0012336F">
              <w:rPr>
                <w:rFonts w:cstheme="minorHAnsi"/>
                <w:color w:val="FF0000"/>
                <w:vertAlign w:val="superscript"/>
              </w:rPr>
              <w:t>nd</w:t>
            </w:r>
            <w:r w:rsidRPr="0012336F">
              <w:rPr>
                <w:rFonts w:cstheme="minorHAnsi"/>
                <w:color w:val="FF0000"/>
              </w:rPr>
              <w:t xml:space="preserve"> </w:t>
            </w:r>
            <w:r w:rsidRPr="0012336F">
              <w:rPr>
                <w:rFonts w:cstheme="minorHAnsi"/>
                <w:color w:val="000000" w:themeColor="text1"/>
              </w:rPr>
              <w:t>semester</w:t>
            </w:r>
          </w:p>
        </w:tc>
      </w:tr>
      <w:tr w:rsidR="00115823" w:rsidRPr="0012336F" w:rsidTr="00F15F7D">
        <w:tc>
          <w:tcPr>
            <w:tcW w:w="2972" w:type="dxa"/>
            <w:gridSpan w:val="2"/>
            <w:shd w:val="clear" w:color="auto" w:fill="F2F2F2" w:themeFill="background1" w:themeFillShade="F2"/>
          </w:tcPr>
          <w:p w:rsidR="00115823" w:rsidRPr="0012336F" w:rsidRDefault="00115823" w:rsidP="00F15F7D">
            <w:pPr>
              <w:spacing w:after="0" w:line="240" w:lineRule="auto"/>
              <w:rPr>
                <w:rStyle w:val="SubtleReference"/>
                <w:rFonts w:cstheme="minorHAnsi"/>
                <w:color w:val="000000" w:themeColor="text1"/>
              </w:rPr>
            </w:pPr>
            <w:r w:rsidRPr="0012336F">
              <w:rPr>
                <w:rStyle w:val="SubtleReference"/>
                <w:rFonts w:cstheme="minorHAnsi"/>
                <w:color w:val="000000" w:themeColor="text1"/>
              </w:rPr>
              <w:t>Number of ECTS credits</w:t>
            </w:r>
          </w:p>
        </w:tc>
        <w:tc>
          <w:tcPr>
            <w:tcW w:w="6237" w:type="dxa"/>
            <w:shd w:val="clear" w:color="auto" w:fill="F2F2F2" w:themeFill="background1" w:themeFillShade="F2"/>
          </w:tcPr>
          <w:p w:rsidR="00115823" w:rsidRPr="0012336F" w:rsidRDefault="00115823" w:rsidP="00E021F0">
            <w:pPr>
              <w:spacing w:after="0" w:line="240" w:lineRule="auto"/>
              <w:rPr>
                <w:rFonts w:cstheme="minorHAnsi"/>
                <w:color w:val="000000" w:themeColor="text1"/>
              </w:rPr>
            </w:pPr>
            <w:r>
              <w:rPr>
                <w:rFonts w:cstheme="minorHAnsi"/>
                <w:color w:val="FF0000"/>
              </w:rPr>
              <w:t xml:space="preserve">4 </w:t>
            </w:r>
          </w:p>
        </w:tc>
      </w:tr>
      <w:tr w:rsidR="00115823" w:rsidRPr="0012336F" w:rsidTr="00F15F7D">
        <w:tc>
          <w:tcPr>
            <w:tcW w:w="2972" w:type="dxa"/>
            <w:gridSpan w:val="2"/>
            <w:shd w:val="clear" w:color="auto" w:fill="F2F2F2" w:themeFill="background1" w:themeFillShade="F2"/>
          </w:tcPr>
          <w:p w:rsidR="00115823" w:rsidRPr="0012336F" w:rsidRDefault="00115823" w:rsidP="00F15F7D">
            <w:pPr>
              <w:spacing w:after="0" w:line="240" w:lineRule="auto"/>
              <w:rPr>
                <w:rStyle w:val="SubtleReference"/>
                <w:rFonts w:cstheme="minorHAnsi"/>
                <w:color w:val="000000" w:themeColor="text1"/>
              </w:rPr>
            </w:pPr>
            <w:r w:rsidRPr="0012336F">
              <w:rPr>
                <w:rStyle w:val="SubtleReference"/>
                <w:rFonts w:cstheme="minorHAnsi"/>
                <w:color w:val="000000" w:themeColor="text1"/>
              </w:rPr>
              <w:t>Number of hours per week</w:t>
            </w:r>
          </w:p>
        </w:tc>
        <w:tc>
          <w:tcPr>
            <w:tcW w:w="6237" w:type="dxa"/>
            <w:shd w:val="clear" w:color="auto" w:fill="F2F2F2" w:themeFill="background1" w:themeFillShade="F2"/>
          </w:tcPr>
          <w:p w:rsidR="00115823" w:rsidRPr="0012336F" w:rsidRDefault="00115823" w:rsidP="00E021F0">
            <w:pPr>
              <w:spacing w:after="0" w:line="240" w:lineRule="auto"/>
              <w:rPr>
                <w:rFonts w:cstheme="minorHAnsi"/>
                <w:color w:val="000000" w:themeColor="text1"/>
              </w:rPr>
            </w:pPr>
            <w:r>
              <w:rPr>
                <w:rFonts w:cstheme="minorHAnsi"/>
                <w:color w:val="000000" w:themeColor="text1"/>
              </w:rPr>
              <w:t>2</w:t>
            </w:r>
            <w:r w:rsidRPr="0012336F">
              <w:rPr>
                <w:rFonts w:cstheme="minorHAnsi"/>
                <w:color w:val="000000" w:themeColor="text1"/>
              </w:rPr>
              <w:t xml:space="preserve"> (</w:t>
            </w:r>
            <w:r w:rsidRPr="0012336F">
              <w:rPr>
                <w:rFonts w:cstheme="minorHAnsi"/>
                <w:color w:val="FF0000"/>
              </w:rPr>
              <w:t>2</w:t>
            </w:r>
            <w:r w:rsidRPr="0012336F">
              <w:rPr>
                <w:rFonts w:cstheme="minorHAnsi"/>
                <w:color w:val="000000" w:themeColor="text1"/>
              </w:rPr>
              <w:t xml:space="preserve"> lecture hours</w:t>
            </w:r>
            <w:r>
              <w:rPr>
                <w:rFonts w:cstheme="minorHAnsi"/>
                <w:color w:val="000000" w:themeColor="text1"/>
              </w:rPr>
              <w:t>)</w:t>
            </w:r>
            <w:r w:rsidRPr="0012336F">
              <w:rPr>
                <w:rFonts w:cstheme="minorHAnsi"/>
                <w:color w:val="000000" w:themeColor="text1"/>
              </w:rPr>
              <w:t xml:space="preserve"> </w:t>
            </w:r>
          </w:p>
        </w:tc>
      </w:tr>
      <w:tr w:rsidR="00115823" w:rsidRPr="0012336F" w:rsidTr="00F15F7D">
        <w:tc>
          <w:tcPr>
            <w:tcW w:w="2972" w:type="dxa"/>
            <w:gridSpan w:val="2"/>
            <w:shd w:val="clear" w:color="auto" w:fill="F2F2F2" w:themeFill="background1" w:themeFillShade="F2"/>
          </w:tcPr>
          <w:p w:rsidR="00115823" w:rsidRPr="0012336F" w:rsidRDefault="00115823" w:rsidP="00F15F7D">
            <w:pPr>
              <w:spacing w:after="0" w:line="240" w:lineRule="auto"/>
              <w:rPr>
                <w:rStyle w:val="SubtleReference"/>
                <w:rFonts w:cstheme="minorHAnsi"/>
                <w:color w:val="000000" w:themeColor="text1"/>
              </w:rPr>
            </w:pPr>
            <w:r w:rsidRPr="0012336F">
              <w:rPr>
                <w:rStyle w:val="SubtleReference"/>
                <w:rFonts w:cstheme="minorHAnsi"/>
                <w:color w:val="000000" w:themeColor="text1"/>
              </w:rPr>
              <w:t>Name of lecture holder</w:t>
            </w:r>
          </w:p>
        </w:tc>
        <w:tc>
          <w:tcPr>
            <w:tcW w:w="6237" w:type="dxa"/>
            <w:shd w:val="clear" w:color="auto" w:fill="F2F2F2" w:themeFill="background1" w:themeFillShade="F2"/>
          </w:tcPr>
          <w:p w:rsidR="00115823" w:rsidRPr="0012336F" w:rsidRDefault="00115823" w:rsidP="00F15F7D">
            <w:pPr>
              <w:spacing w:after="0" w:line="240" w:lineRule="auto"/>
              <w:rPr>
                <w:rFonts w:cstheme="minorHAnsi"/>
                <w:color w:val="000000" w:themeColor="text1"/>
                <w:lang w:val="fr-FR"/>
              </w:rPr>
            </w:pPr>
            <w:proofErr w:type="spellStart"/>
            <w:r>
              <w:rPr>
                <w:rFonts w:cstheme="minorHAnsi"/>
                <w:color w:val="000000" w:themeColor="text1"/>
                <w:lang w:val="fr-FR"/>
              </w:rPr>
              <w:t>Lecturer</w:t>
            </w:r>
            <w:proofErr w:type="spellEnd"/>
            <w:r>
              <w:rPr>
                <w:rFonts w:cstheme="minorHAnsi"/>
                <w:color w:val="000000" w:themeColor="text1"/>
                <w:lang w:val="fr-FR"/>
              </w:rPr>
              <w:t xml:space="preserve"> Dr. Veronica </w:t>
            </w:r>
            <w:proofErr w:type="spellStart"/>
            <w:r>
              <w:rPr>
                <w:rFonts w:cstheme="minorHAnsi"/>
                <w:color w:val="000000" w:themeColor="text1"/>
                <w:lang w:val="fr-FR"/>
              </w:rPr>
              <w:t>Popescu</w:t>
            </w:r>
            <w:proofErr w:type="spellEnd"/>
            <w:r w:rsidRPr="0012336F">
              <w:rPr>
                <w:rFonts w:cstheme="minorHAnsi"/>
                <w:color w:val="000000" w:themeColor="text1"/>
                <w:lang w:val="fr-FR"/>
              </w:rPr>
              <w:t xml:space="preserve"> </w:t>
            </w:r>
          </w:p>
        </w:tc>
      </w:tr>
      <w:tr w:rsidR="00115823" w:rsidRPr="0012336F" w:rsidTr="00F15F7D">
        <w:tc>
          <w:tcPr>
            <w:tcW w:w="2972" w:type="dxa"/>
            <w:gridSpan w:val="2"/>
            <w:shd w:val="clear" w:color="auto" w:fill="F2F2F2" w:themeFill="background1" w:themeFillShade="F2"/>
          </w:tcPr>
          <w:p w:rsidR="00115823" w:rsidRPr="0012336F" w:rsidRDefault="00115823" w:rsidP="00F15F7D">
            <w:pPr>
              <w:spacing w:after="0" w:line="240" w:lineRule="auto"/>
              <w:rPr>
                <w:rStyle w:val="SubtleReference"/>
                <w:rFonts w:cstheme="minorHAnsi"/>
                <w:color w:val="000000" w:themeColor="text1"/>
              </w:rPr>
            </w:pPr>
            <w:r w:rsidRPr="0012336F">
              <w:rPr>
                <w:rStyle w:val="SubtleReference"/>
                <w:rFonts w:cstheme="minorHAnsi"/>
                <w:color w:val="000000" w:themeColor="text1"/>
              </w:rPr>
              <w:t>Name of seminar holder</w:t>
            </w:r>
          </w:p>
        </w:tc>
        <w:tc>
          <w:tcPr>
            <w:tcW w:w="6237" w:type="dxa"/>
            <w:shd w:val="clear" w:color="auto" w:fill="F2F2F2" w:themeFill="background1" w:themeFillShade="F2"/>
          </w:tcPr>
          <w:p w:rsidR="00115823" w:rsidRPr="0012336F" w:rsidRDefault="00115823" w:rsidP="00F15F7D">
            <w:pPr>
              <w:spacing w:after="0" w:line="240" w:lineRule="auto"/>
              <w:rPr>
                <w:rFonts w:cstheme="minorHAnsi"/>
                <w:color w:val="000000" w:themeColor="text1"/>
              </w:rPr>
            </w:pPr>
          </w:p>
        </w:tc>
      </w:tr>
      <w:tr w:rsidR="00115823" w:rsidRPr="0012336F" w:rsidTr="00F15F7D">
        <w:tc>
          <w:tcPr>
            <w:tcW w:w="2972" w:type="dxa"/>
            <w:gridSpan w:val="2"/>
            <w:shd w:val="clear" w:color="auto" w:fill="F2F2F2" w:themeFill="background1" w:themeFillShade="F2"/>
          </w:tcPr>
          <w:p w:rsidR="00115823" w:rsidRPr="0012336F" w:rsidRDefault="00115823" w:rsidP="00F15F7D">
            <w:pPr>
              <w:spacing w:after="0" w:line="240" w:lineRule="auto"/>
              <w:rPr>
                <w:rStyle w:val="SubtleReference"/>
                <w:rFonts w:cstheme="minorHAnsi"/>
                <w:color w:val="000000" w:themeColor="text1"/>
              </w:rPr>
            </w:pPr>
            <w:r w:rsidRPr="0012336F">
              <w:rPr>
                <w:rStyle w:val="SubtleReference"/>
                <w:rFonts w:cstheme="minorHAnsi"/>
                <w:color w:val="000000" w:themeColor="text1"/>
              </w:rPr>
              <w:t>Prerequisites</w:t>
            </w:r>
          </w:p>
        </w:tc>
        <w:tc>
          <w:tcPr>
            <w:tcW w:w="6237" w:type="dxa"/>
            <w:shd w:val="clear" w:color="auto" w:fill="F2F2F2" w:themeFill="background1" w:themeFillShade="F2"/>
          </w:tcPr>
          <w:p w:rsidR="00115823" w:rsidRPr="0012336F" w:rsidRDefault="00115823" w:rsidP="00F15F7D">
            <w:pPr>
              <w:spacing w:after="0" w:line="240" w:lineRule="auto"/>
              <w:rPr>
                <w:rFonts w:cstheme="minorHAnsi"/>
                <w:color w:val="000000" w:themeColor="text1"/>
              </w:rPr>
            </w:pPr>
            <w:r w:rsidRPr="0012336F">
              <w:rPr>
                <w:rFonts w:cstheme="minorHAnsi"/>
                <w:color w:val="FF0000"/>
              </w:rPr>
              <w:t xml:space="preserve">Advanced level of English </w:t>
            </w:r>
          </w:p>
        </w:tc>
      </w:tr>
      <w:tr w:rsidR="00115823" w:rsidRPr="0012336F" w:rsidTr="00F15F7D">
        <w:tc>
          <w:tcPr>
            <w:tcW w:w="562" w:type="dxa"/>
            <w:shd w:val="clear" w:color="auto" w:fill="A6A6A6" w:themeFill="background1" w:themeFillShade="A6"/>
          </w:tcPr>
          <w:p w:rsidR="00115823" w:rsidRPr="0012336F" w:rsidRDefault="00115823" w:rsidP="00F15F7D">
            <w:pPr>
              <w:spacing w:after="0" w:line="240" w:lineRule="auto"/>
              <w:rPr>
                <w:rStyle w:val="SubtleReference"/>
                <w:rFonts w:cstheme="minorHAnsi"/>
                <w:color w:val="FFFFFF" w:themeColor="background1"/>
                <w:lang w:val="ro-RO"/>
              </w:rPr>
            </w:pPr>
            <w:r w:rsidRPr="0012336F">
              <w:rPr>
                <w:rStyle w:val="SubtleReference"/>
                <w:rFonts w:cstheme="minorHAnsi"/>
                <w:color w:val="FFFFFF" w:themeColor="background1"/>
                <w:lang w:val="ro-RO"/>
              </w:rPr>
              <w:t>A</w:t>
            </w:r>
          </w:p>
        </w:tc>
        <w:tc>
          <w:tcPr>
            <w:tcW w:w="8647" w:type="dxa"/>
            <w:gridSpan w:val="2"/>
            <w:shd w:val="clear" w:color="auto" w:fill="A6A6A6" w:themeFill="background1" w:themeFillShade="A6"/>
          </w:tcPr>
          <w:p w:rsidR="00115823" w:rsidRPr="0012336F" w:rsidRDefault="00115823" w:rsidP="00F15F7D">
            <w:pPr>
              <w:spacing w:after="0" w:line="240" w:lineRule="auto"/>
              <w:rPr>
                <w:rFonts w:cstheme="minorHAnsi"/>
                <w:b/>
                <w:color w:val="FFFFFF" w:themeColor="background1"/>
                <w:lang w:val="ro-RO"/>
              </w:rPr>
            </w:pPr>
            <w:r w:rsidRPr="0012336F">
              <w:rPr>
                <w:rStyle w:val="SubtleReference"/>
                <w:rFonts w:cstheme="minorHAnsi"/>
                <w:b/>
                <w:color w:val="FFFFFF" w:themeColor="background1"/>
                <w:lang w:val="ro-RO"/>
              </w:rPr>
              <w:t>General and course-specific competences</w:t>
            </w:r>
          </w:p>
        </w:tc>
      </w:tr>
      <w:tr w:rsidR="00115823" w:rsidRPr="0012336F" w:rsidTr="00F15F7D">
        <w:tc>
          <w:tcPr>
            <w:tcW w:w="562" w:type="dxa"/>
            <w:shd w:val="clear" w:color="auto" w:fill="F2F2F2" w:themeFill="background1" w:themeFillShade="F2"/>
          </w:tcPr>
          <w:p w:rsidR="00115823" w:rsidRPr="0012336F" w:rsidRDefault="00115823" w:rsidP="00F15F7D">
            <w:pPr>
              <w:spacing w:after="0" w:line="240" w:lineRule="auto"/>
              <w:jc w:val="both"/>
              <w:rPr>
                <w:rFonts w:cstheme="minorHAnsi"/>
                <w:b/>
                <w:lang w:val="ro-RO"/>
              </w:rPr>
            </w:pPr>
          </w:p>
        </w:tc>
        <w:tc>
          <w:tcPr>
            <w:tcW w:w="8647" w:type="dxa"/>
            <w:gridSpan w:val="2"/>
            <w:shd w:val="clear" w:color="auto" w:fill="F2F2F2" w:themeFill="background1" w:themeFillShade="F2"/>
          </w:tcPr>
          <w:p w:rsidR="00115823" w:rsidRPr="0012336F" w:rsidRDefault="00115823" w:rsidP="00F15F7D">
            <w:pPr>
              <w:spacing w:after="0" w:line="240" w:lineRule="auto"/>
              <w:jc w:val="both"/>
              <w:rPr>
                <w:rFonts w:cstheme="minorHAnsi"/>
                <w:lang w:val="ro-RO"/>
              </w:rPr>
            </w:pPr>
            <w:r w:rsidRPr="0012336F">
              <w:rPr>
                <w:rFonts w:cstheme="minorHAnsi"/>
                <w:b/>
                <w:lang w:val="ro-RO"/>
              </w:rPr>
              <w:t>General competences</w:t>
            </w:r>
            <w:r w:rsidRPr="0012336F">
              <w:rPr>
                <w:rFonts w:cstheme="minorHAnsi"/>
                <w:lang w:val="ro-RO"/>
              </w:rPr>
              <w:t>:</w:t>
            </w:r>
          </w:p>
          <w:p w:rsidR="00A73BAB" w:rsidRPr="0012336F" w:rsidRDefault="00A73BAB" w:rsidP="00A73BAB">
            <w:pPr>
              <w:pStyle w:val="ListParagraph"/>
              <w:numPr>
                <w:ilvl w:val="0"/>
                <w:numId w:val="2"/>
              </w:numPr>
              <w:spacing w:after="0" w:line="240" w:lineRule="auto"/>
              <w:ind w:left="325"/>
              <w:jc w:val="both"/>
              <w:rPr>
                <w:rFonts w:cstheme="minorHAnsi"/>
                <w:lang w:val="fr-FR"/>
              </w:rPr>
            </w:pPr>
            <w:r w:rsidRPr="0012336F">
              <w:rPr>
                <w:rFonts w:cstheme="minorHAnsi"/>
                <w:lang w:val="fr-FR"/>
              </w:rPr>
              <w:t xml:space="preserve">The </w:t>
            </w:r>
            <w:proofErr w:type="spellStart"/>
            <w:r w:rsidRPr="0012336F">
              <w:rPr>
                <w:rFonts w:cstheme="minorHAnsi"/>
                <w:lang w:val="fr-FR"/>
              </w:rPr>
              <w:t>ability</w:t>
            </w:r>
            <w:proofErr w:type="spellEnd"/>
            <w:r w:rsidRPr="0012336F">
              <w:rPr>
                <w:rFonts w:cstheme="minorHAnsi"/>
                <w:lang w:val="fr-FR"/>
              </w:rPr>
              <w:t xml:space="preserve"> to contextualise, </w:t>
            </w:r>
            <w:proofErr w:type="spellStart"/>
            <w:r w:rsidRPr="0012336F">
              <w:rPr>
                <w:rFonts w:cstheme="minorHAnsi"/>
                <w:lang w:val="fr-FR"/>
              </w:rPr>
              <w:t>reframe</w:t>
            </w:r>
            <w:proofErr w:type="spellEnd"/>
            <w:r w:rsidRPr="0012336F">
              <w:rPr>
                <w:rFonts w:cstheme="minorHAnsi"/>
                <w:lang w:val="fr-FR"/>
              </w:rPr>
              <w:t xml:space="preserve">, and </w:t>
            </w:r>
            <w:proofErr w:type="spellStart"/>
            <w:r w:rsidRPr="0012336F">
              <w:rPr>
                <w:rFonts w:cstheme="minorHAnsi"/>
                <w:lang w:val="fr-FR"/>
              </w:rPr>
              <w:t>make</w:t>
            </w:r>
            <w:proofErr w:type="spellEnd"/>
            <w:r w:rsidRPr="0012336F">
              <w:rPr>
                <w:rFonts w:cstheme="minorHAnsi"/>
                <w:lang w:val="fr-FR"/>
              </w:rPr>
              <w:t xml:space="preserve"> connections </w:t>
            </w:r>
            <w:proofErr w:type="spellStart"/>
            <w:r w:rsidRPr="0012336F">
              <w:rPr>
                <w:rFonts w:cstheme="minorHAnsi"/>
                <w:lang w:val="fr-FR"/>
              </w:rPr>
              <w:t>among</w:t>
            </w:r>
            <w:proofErr w:type="spellEnd"/>
            <w:r w:rsidRPr="0012336F">
              <w:rPr>
                <w:rFonts w:cstheme="minorHAnsi"/>
                <w:lang w:val="fr-FR"/>
              </w:rPr>
              <w:t xml:space="preserve"> </w:t>
            </w:r>
            <w:proofErr w:type="spellStart"/>
            <w:r w:rsidRPr="0012336F">
              <w:rPr>
                <w:rFonts w:cstheme="minorHAnsi"/>
                <w:lang w:val="fr-FR"/>
              </w:rPr>
              <w:t>various</w:t>
            </w:r>
            <w:proofErr w:type="spellEnd"/>
            <w:r w:rsidRPr="0012336F">
              <w:rPr>
                <w:rFonts w:cstheme="minorHAnsi"/>
                <w:lang w:val="fr-FR"/>
              </w:rPr>
              <w:t xml:space="preserve"> cultural </w:t>
            </w:r>
            <w:proofErr w:type="spellStart"/>
            <w:r w:rsidRPr="0012336F">
              <w:rPr>
                <w:rFonts w:cstheme="minorHAnsi"/>
                <w:lang w:val="fr-FR"/>
              </w:rPr>
              <w:t>phenomena</w:t>
            </w:r>
            <w:proofErr w:type="spellEnd"/>
            <w:r w:rsidRPr="0012336F">
              <w:rPr>
                <w:rFonts w:cstheme="minorHAnsi"/>
                <w:lang w:val="fr-FR"/>
              </w:rPr>
              <w:t xml:space="preserve">, as </w:t>
            </w:r>
            <w:proofErr w:type="spellStart"/>
            <w:r w:rsidRPr="0012336F">
              <w:rPr>
                <w:rFonts w:cstheme="minorHAnsi"/>
                <w:lang w:val="fr-FR"/>
              </w:rPr>
              <w:t>reflected</w:t>
            </w:r>
            <w:proofErr w:type="spellEnd"/>
            <w:r w:rsidRPr="0012336F">
              <w:rPr>
                <w:rFonts w:cstheme="minorHAnsi"/>
                <w:lang w:val="fr-FR"/>
              </w:rPr>
              <w:t xml:space="preserve"> in a </w:t>
            </w:r>
            <w:proofErr w:type="spellStart"/>
            <w:r>
              <w:rPr>
                <w:rFonts w:cstheme="minorHAnsi"/>
                <w:lang w:val="fr-FR"/>
              </w:rPr>
              <w:t>literary</w:t>
            </w:r>
            <w:proofErr w:type="spellEnd"/>
            <w:r>
              <w:rPr>
                <w:rFonts w:cstheme="minorHAnsi"/>
                <w:lang w:val="fr-FR"/>
              </w:rPr>
              <w:t xml:space="preserve"> </w:t>
            </w:r>
            <w:proofErr w:type="spellStart"/>
            <w:r>
              <w:rPr>
                <w:rFonts w:cstheme="minorHAnsi"/>
                <w:lang w:val="fr-FR"/>
              </w:rPr>
              <w:t>text</w:t>
            </w:r>
            <w:proofErr w:type="spellEnd"/>
            <w:r>
              <w:rPr>
                <w:rFonts w:cstheme="minorHAnsi"/>
                <w:lang w:val="fr-FR"/>
              </w:rPr>
              <w:t xml:space="preserve"> or a film</w:t>
            </w:r>
          </w:p>
          <w:p w:rsidR="00F930A7" w:rsidRDefault="00115823" w:rsidP="00F15F7D">
            <w:pPr>
              <w:pStyle w:val="ListParagraph"/>
              <w:numPr>
                <w:ilvl w:val="0"/>
                <w:numId w:val="2"/>
              </w:numPr>
              <w:spacing w:after="0" w:line="240" w:lineRule="auto"/>
              <w:ind w:left="325"/>
              <w:jc w:val="both"/>
              <w:rPr>
                <w:rFonts w:cstheme="minorHAnsi"/>
                <w:lang w:val="fr-FR"/>
              </w:rPr>
            </w:pPr>
            <w:r w:rsidRPr="00F930A7">
              <w:rPr>
                <w:rFonts w:cstheme="minorHAnsi"/>
                <w:lang w:val="fr-FR"/>
              </w:rPr>
              <w:t xml:space="preserve">The </w:t>
            </w:r>
            <w:proofErr w:type="spellStart"/>
            <w:r w:rsidRPr="00F930A7">
              <w:rPr>
                <w:rFonts w:cstheme="minorHAnsi"/>
                <w:lang w:val="fr-FR"/>
              </w:rPr>
              <w:t>ability</w:t>
            </w:r>
            <w:proofErr w:type="spellEnd"/>
            <w:r w:rsidRPr="00F930A7">
              <w:rPr>
                <w:rFonts w:cstheme="minorHAnsi"/>
                <w:lang w:val="fr-FR"/>
              </w:rPr>
              <w:t xml:space="preserve"> to comment on a </w:t>
            </w:r>
            <w:proofErr w:type="spellStart"/>
            <w:r w:rsidR="00F930A7" w:rsidRPr="00F930A7">
              <w:rPr>
                <w:rFonts w:cstheme="minorHAnsi"/>
                <w:lang w:val="fr-FR"/>
              </w:rPr>
              <w:t>literary</w:t>
            </w:r>
            <w:proofErr w:type="spellEnd"/>
            <w:r w:rsidR="00F930A7" w:rsidRPr="00F930A7">
              <w:rPr>
                <w:rFonts w:cstheme="minorHAnsi"/>
                <w:lang w:val="fr-FR"/>
              </w:rPr>
              <w:t xml:space="preserve"> </w:t>
            </w:r>
            <w:proofErr w:type="spellStart"/>
            <w:r w:rsidR="00F930A7" w:rsidRPr="00F930A7">
              <w:rPr>
                <w:rFonts w:cstheme="minorHAnsi"/>
                <w:lang w:val="fr-FR"/>
              </w:rPr>
              <w:t>text</w:t>
            </w:r>
            <w:proofErr w:type="spellEnd"/>
            <w:r w:rsidR="00F930A7" w:rsidRPr="00F930A7">
              <w:rPr>
                <w:rFonts w:cstheme="minorHAnsi"/>
                <w:lang w:val="fr-FR"/>
              </w:rPr>
              <w:t xml:space="preserve"> and a </w:t>
            </w:r>
            <w:r w:rsidRPr="00F930A7">
              <w:rPr>
                <w:rFonts w:cstheme="minorHAnsi"/>
                <w:lang w:val="fr-FR"/>
              </w:rPr>
              <w:t xml:space="preserve">film </w:t>
            </w:r>
            <w:proofErr w:type="spellStart"/>
            <w:r w:rsidR="00F930A7" w:rsidRPr="00F930A7">
              <w:rPr>
                <w:rFonts w:cstheme="minorHAnsi"/>
                <w:lang w:val="fr-FR"/>
              </w:rPr>
              <w:t>from</w:t>
            </w:r>
            <w:proofErr w:type="spellEnd"/>
            <w:r w:rsidR="00F930A7" w:rsidRPr="00F930A7">
              <w:rPr>
                <w:rFonts w:cstheme="minorHAnsi"/>
                <w:lang w:val="fr-FR"/>
              </w:rPr>
              <w:t xml:space="preserve"> </w:t>
            </w:r>
            <w:proofErr w:type="spellStart"/>
            <w:r w:rsidR="00F930A7" w:rsidRPr="00F930A7">
              <w:rPr>
                <w:rFonts w:cstheme="minorHAnsi"/>
                <w:lang w:val="fr-FR"/>
              </w:rPr>
              <w:t>various</w:t>
            </w:r>
            <w:proofErr w:type="spellEnd"/>
            <w:r w:rsidR="00F930A7" w:rsidRPr="00F930A7">
              <w:rPr>
                <w:rFonts w:cstheme="minorHAnsi"/>
                <w:lang w:val="fr-FR"/>
              </w:rPr>
              <w:t xml:space="preserve"> perspectives</w:t>
            </w:r>
            <w:r w:rsidR="00F930A7">
              <w:rPr>
                <w:rFonts w:cstheme="minorHAnsi"/>
                <w:lang w:val="fr-FR"/>
              </w:rPr>
              <w:t xml:space="preserve"> (</w:t>
            </w:r>
            <w:proofErr w:type="spellStart"/>
            <w:r w:rsidR="00F930A7">
              <w:rPr>
                <w:rFonts w:cstheme="minorHAnsi"/>
                <w:lang w:val="fr-FR"/>
              </w:rPr>
              <w:t>artistic</w:t>
            </w:r>
            <w:proofErr w:type="spellEnd"/>
            <w:r w:rsidR="00F930A7">
              <w:rPr>
                <w:rFonts w:cstheme="minorHAnsi"/>
                <w:lang w:val="fr-FR"/>
              </w:rPr>
              <w:t xml:space="preserve"> </w:t>
            </w:r>
            <w:proofErr w:type="spellStart"/>
            <w:r w:rsidR="00F930A7">
              <w:rPr>
                <w:rFonts w:cstheme="minorHAnsi"/>
                <w:lang w:val="fr-FR"/>
              </w:rPr>
              <w:t>qualities</w:t>
            </w:r>
            <w:proofErr w:type="spellEnd"/>
            <w:r w:rsidR="00F930A7">
              <w:rPr>
                <w:rFonts w:cstheme="minorHAnsi"/>
                <w:lang w:val="fr-FR"/>
              </w:rPr>
              <w:t xml:space="preserve">, cultural relevance, </w:t>
            </w:r>
            <w:proofErr w:type="spellStart"/>
            <w:r w:rsidR="00F930A7">
              <w:rPr>
                <w:rFonts w:cstheme="minorHAnsi"/>
                <w:lang w:val="fr-FR"/>
              </w:rPr>
              <w:t>ideological</w:t>
            </w:r>
            <w:proofErr w:type="spellEnd"/>
            <w:r w:rsidR="00F930A7">
              <w:rPr>
                <w:rFonts w:cstheme="minorHAnsi"/>
                <w:lang w:val="fr-FR"/>
              </w:rPr>
              <w:t xml:space="preserve"> </w:t>
            </w:r>
            <w:proofErr w:type="spellStart"/>
            <w:r w:rsidR="00871CD2">
              <w:rPr>
                <w:rFonts w:cstheme="minorHAnsi"/>
                <w:lang w:val="fr-FR"/>
              </w:rPr>
              <w:t>positioning</w:t>
            </w:r>
            <w:proofErr w:type="spellEnd"/>
            <w:r w:rsidR="00F930A7">
              <w:rPr>
                <w:rFonts w:cstheme="minorHAnsi"/>
                <w:lang w:val="fr-FR"/>
              </w:rPr>
              <w:t>)</w:t>
            </w:r>
          </w:p>
          <w:p w:rsidR="00115823" w:rsidRPr="00F930A7" w:rsidRDefault="00115823" w:rsidP="00F15F7D">
            <w:pPr>
              <w:pStyle w:val="ListParagraph"/>
              <w:numPr>
                <w:ilvl w:val="0"/>
                <w:numId w:val="2"/>
              </w:numPr>
              <w:spacing w:after="0" w:line="240" w:lineRule="auto"/>
              <w:ind w:left="325"/>
              <w:jc w:val="both"/>
              <w:rPr>
                <w:rFonts w:cstheme="minorHAnsi"/>
                <w:lang w:val="fr-FR"/>
              </w:rPr>
            </w:pPr>
            <w:r w:rsidRPr="00F930A7">
              <w:rPr>
                <w:rFonts w:cstheme="minorHAnsi"/>
                <w:lang w:val="fr-FR"/>
              </w:rPr>
              <w:t xml:space="preserve">The </w:t>
            </w:r>
            <w:proofErr w:type="spellStart"/>
            <w:r w:rsidRPr="00F930A7">
              <w:rPr>
                <w:rFonts w:cstheme="minorHAnsi"/>
                <w:lang w:val="fr-FR"/>
              </w:rPr>
              <w:t>ability</w:t>
            </w:r>
            <w:proofErr w:type="spellEnd"/>
            <w:r w:rsidRPr="00F930A7">
              <w:rPr>
                <w:rFonts w:cstheme="minorHAnsi"/>
                <w:lang w:val="fr-FR"/>
              </w:rPr>
              <w:t xml:space="preserve"> to do </w:t>
            </w:r>
            <w:proofErr w:type="spellStart"/>
            <w:r w:rsidRPr="00F930A7">
              <w:rPr>
                <w:rFonts w:cstheme="minorHAnsi"/>
                <w:lang w:val="fr-FR"/>
              </w:rPr>
              <w:t>independent</w:t>
            </w:r>
            <w:proofErr w:type="spellEnd"/>
            <w:r w:rsidRPr="00F930A7">
              <w:rPr>
                <w:rFonts w:cstheme="minorHAnsi"/>
                <w:lang w:val="fr-FR"/>
              </w:rPr>
              <w:t xml:space="preserve"> </w:t>
            </w:r>
            <w:proofErr w:type="spellStart"/>
            <w:r w:rsidRPr="00F930A7">
              <w:rPr>
                <w:rFonts w:cstheme="minorHAnsi"/>
                <w:lang w:val="fr-FR"/>
              </w:rPr>
              <w:t>research</w:t>
            </w:r>
            <w:proofErr w:type="spellEnd"/>
            <w:r w:rsidRPr="00F930A7">
              <w:rPr>
                <w:rFonts w:cstheme="minorHAnsi"/>
                <w:lang w:val="fr-FR"/>
              </w:rPr>
              <w:t xml:space="preserve"> </w:t>
            </w:r>
          </w:p>
          <w:p w:rsidR="00115823" w:rsidRPr="0012336F" w:rsidRDefault="00115823" w:rsidP="00F15F7D">
            <w:pPr>
              <w:spacing w:after="0" w:line="240" w:lineRule="auto"/>
              <w:ind w:left="41"/>
              <w:jc w:val="both"/>
              <w:rPr>
                <w:rFonts w:cstheme="minorHAnsi"/>
                <w:lang w:val="ro-RO"/>
              </w:rPr>
            </w:pPr>
            <w:r w:rsidRPr="0012336F">
              <w:rPr>
                <w:rFonts w:cstheme="minorHAnsi"/>
                <w:b/>
                <w:lang w:val="ro-RO"/>
              </w:rPr>
              <w:t>Course-specific competences</w:t>
            </w:r>
            <w:r w:rsidRPr="0012336F">
              <w:rPr>
                <w:rFonts w:cstheme="minorHAnsi"/>
                <w:lang w:val="ro-RO"/>
              </w:rPr>
              <w:t>:</w:t>
            </w:r>
          </w:p>
          <w:p w:rsidR="00115823" w:rsidRPr="0012336F" w:rsidRDefault="00115823" w:rsidP="00F15F7D">
            <w:pPr>
              <w:pStyle w:val="ListParagraph"/>
              <w:numPr>
                <w:ilvl w:val="0"/>
                <w:numId w:val="3"/>
              </w:numPr>
              <w:spacing w:after="0" w:line="240" w:lineRule="auto"/>
              <w:ind w:left="325"/>
              <w:jc w:val="both"/>
              <w:rPr>
                <w:rFonts w:cstheme="minorHAnsi"/>
                <w:lang w:val="ro-RO"/>
              </w:rPr>
            </w:pPr>
            <w:r w:rsidRPr="0012336F">
              <w:rPr>
                <w:rFonts w:cstheme="minorHAnsi"/>
                <w:lang w:val="ro-RO"/>
              </w:rPr>
              <w:t>The ability to use concepts and theoretical approaches specific to</w:t>
            </w:r>
            <w:r w:rsidR="00A16FCD">
              <w:rPr>
                <w:rFonts w:cstheme="minorHAnsi"/>
                <w:lang w:val="ro-RO"/>
              </w:rPr>
              <w:t xml:space="preserve"> literary and cultural s</w:t>
            </w:r>
            <w:r w:rsidRPr="0012336F">
              <w:rPr>
                <w:rFonts w:cstheme="minorHAnsi"/>
                <w:lang w:val="ro-RO"/>
              </w:rPr>
              <w:t xml:space="preserve">tudies </w:t>
            </w:r>
            <w:r w:rsidR="00A16FCD">
              <w:rPr>
                <w:rFonts w:cstheme="minorHAnsi"/>
                <w:lang w:val="ro-RO"/>
              </w:rPr>
              <w:t>in the comparative study of literary texts and their film adaptations</w:t>
            </w:r>
          </w:p>
          <w:p w:rsidR="00172969" w:rsidRDefault="00172969" w:rsidP="00F15F7D">
            <w:pPr>
              <w:pStyle w:val="ListParagraph"/>
              <w:numPr>
                <w:ilvl w:val="0"/>
                <w:numId w:val="3"/>
              </w:numPr>
              <w:spacing w:after="0" w:line="240" w:lineRule="auto"/>
              <w:ind w:left="325"/>
              <w:jc w:val="both"/>
              <w:rPr>
                <w:rFonts w:cstheme="minorHAnsi"/>
                <w:lang w:val="ro-RO"/>
              </w:rPr>
            </w:pPr>
            <w:r w:rsidRPr="0012336F">
              <w:rPr>
                <w:rFonts w:cstheme="minorHAnsi"/>
                <w:lang w:val="ro-RO"/>
              </w:rPr>
              <w:t xml:space="preserve">The ability to apply the interpretive and critical thinking skills  from literature classes in </w:t>
            </w:r>
            <w:r>
              <w:rPr>
                <w:rFonts w:cstheme="minorHAnsi"/>
                <w:lang w:val="ro-RO"/>
              </w:rPr>
              <w:t xml:space="preserve">literary and </w:t>
            </w:r>
            <w:r w:rsidRPr="0012336F">
              <w:rPr>
                <w:rFonts w:cstheme="minorHAnsi"/>
                <w:lang w:val="ro-RO"/>
              </w:rPr>
              <w:t>film analysis</w:t>
            </w:r>
            <w:r>
              <w:rPr>
                <w:rFonts w:cstheme="minorHAnsi"/>
                <w:lang w:val="ro-RO"/>
              </w:rPr>
              <w:t>, especially considering the intertextual relationship existing between a text and its film adaptations</w:t>
            </w:r>
          </w:p>
          <w:p w:rsidR="00115823" w:rsidRPr="00172969" w:rsidRDefault="00115823" w:rsidP="00172969">
            <w:pPr>
              <w:pStyle w:val="ListParagraph"/>
              <w:numPr>
                <w:ilvl w:val="0"/>
                <w:numId w:val="3"/>
              </w:numPr>
              <w:spacing w:after="0" w:line="240" w:lineRule="auto"/>
              <w:ind w:left="325"/>
              <w:jc w:val="both"/>
              <w:rPr>
                <w:rFonts w:cstheme="minorHAnsi"/>
                <w:lang w:val="ro-RO"/>
              </w:rPr>
            </w:pPr>
            <w:r w:rsidRPr="0012336F">
              <w:rPr>
                <w:rFonts w:cstheme="minorHAnsi"/>
                <w:lang w:val="ro-RO"/>
              </w:rPr>
              <w:t xml:space="preserve">The ability to </w:t>
            </w:r>
            <w:r w:rsidR="00A16FCD">
              <w:rPr>
                <w:rFonts w:cstheme="minorHAnsi"/>
                <w:lang w:val="ro-RO"/>
              </w:rPr>
              <w:t xml:space="preserve">understand </w:t>
            </w:r>
            <w:r w:rsidR="00172969">
              <w:rPr>
                <w:rFonts w:cstheme="minorHAnsi"/>
                <w:lang w:val="ro-RO"/>
              </w:rPr>
              <w:t xml:space="preserve">cultural phenomena in context and to identify culture-specific elements as represented in works of fiction whether in literary or filmic form </w:t>
            </w:r>
          </w:p>
        </w:tc>
      </w:tr>
      <w:tr w:rsidR="00115823" w:rsidRPr="0012336F" w:rsidTr="00F15F7D">
        <w:tc>
          <w:tcPr>
            <w:tcW w:w="562" w:type="dxa"/>
            <w:shd w:val="clear" w:color="auto" w:fill="A6A6A6" w:themeFill="background1" w:themeFillShade="A6"/>
          </w:tcPr>
          <w:p w:rsidR="00115823" w:rsidRPr="0012336F" w:rsidRDefault="00115823" w:rsidP="00F15F7D">
            <w:pPr>
              <w:spacing w:after="0" w:line="240" w:lineRule="auto"/>
              <w:jc w:val="both"/>
              <w:rPr>
                <w:rFonts w:cstheme="minorHAnsi"/>
                <w:color w:val="FFFFFF" w:themeColor="background1"/>
                <w:lang w:val="ro-RO"/>
              </w:rPr>
            </w:pPr>
            <w:r w:rsidRPr="0012336F">
              <w:rPr>
                <w:rFonts w:cstheme="minorHAnsi"/>
                <w:color w:val="FFFFFF" w:themeColor="background1"/>
                <w:lang w:val="ro-RO"/>
              </w:rPr>
              <w:t>B</w:t>
            </w:r>
          </w:p>
        </w:tc>
        <w:tc>
          <w:tcPr>
            <w:tcW w:w="8647" w:type="dxa"/>
            <w:gridSpan w:val="2"/>
            <w:shd w:val="clear" w:color="auto" w:fill="A6A6A6" w:themeFill="background1" w:themeFillShade="A6"/>
          </w:tcPr>
          <w:p w:rsidR="00115823" w:rsidRPr="0012336F" w:rsidRDefault="00115823" w:rsidP="00F15F7D">
            <w:pPr>
              <w:spacing w:after="0" w:line="240" w:lineRule="auto"/>
              <w:jc w:val="both"/>
              <w:rPr>
                <w:rFonts w:cstheme="minorHAnsi"/>
                <w:b/>
                <w:color w:val="FFFFFF" w:themeColor="background1"/>
                <w:lang w:val="ro-RO"/>
              </w:rPr>
            </w:pPr>
            <w:r w:rsidRPr="0012336F">
              <w:rPr>
                <w:rStyle w:val="SubtleReference"/>
                <w:rFonts w:cstheme="minorHAnsi"/>
                <w:b/>
                <w:color w:val="FFFFFF" w:themeColor="background1"/>
                <w:lang w:val="ro-RO"/>
              </w:rPr>
              <w:t>Learning outcomes</w:t>
            </w:r>
          </w:p>
        </w:tc>
      </w:tr>
      <w:tr w:rsidR="00115823" w:rsidRPr="0012336F" w:rsidTr="00F15F7D">
        <w:tc>
          <w:tcPr>
            <w:tcW w:w="562" w:type="dxa"/>
            <w:shd w:val="clear" w:color="auto" w:fill="F2F2F2" w:themeFill="background1" w:themeFillShade="F2"/>
          </w:tcPr>
          <w:p w:rsidR="00115823" w:rsidRPr="0012336F" w:rsidRDefault="00115823" w:rsidP="00F15F7D">
            <w:pPr>
              <w:spacing w:after="0" w:line="240" w:lineRule="auto"/>
              <w:rPr>
                <w:rStyle w:val="SubtleReference"/>
                <w:rFonts w:cstheme="minorHAnsi"/>
                <w:lang w:val="ro-RO"/>
              </w:rPr>
            </w:pPr>
          </w:p>
        </w:tc>
        <w:tc>
          <w:tcPr>
            <w:tcW w:w="8647" w:type="dxa"/>
            <w:gridSpan w:val="2"/>
            <w:shd w:val="clear" w:color="auto" w:fill="F2F2F2" w:themeFill="background1" w:themeFillShade="F2"/>
          </w:tcPr>
          <w:p w:rsidR="00115823" w:rsidRPr="00F930A7" w:rsidRDefault="00115823" w:rsidP="00F15F7D">
            <w:pPr>
              <w:spacing w:after="0" w:line="240" w:lineRule="auto"/>
              <w:jc w:val="both"/>
              <w:rPr>
                <w:rFonts w:cstheme="minorHAnsi"/>
                <w:lang w:val="ro-RO"/>
              </w:rPr>
            </w:pPr>
            <w:r w:rsidRPr="00F930A7">
              <w:rPr>
                <w:rFonts w:cstheme="minorHAnsi"/>
                <w:lang w:val="ro-RO"/>
              </w:rPr>
              <w:t>At the end of this class students should be able to:</w:t>
            </w:r>
          </w:p>
          <w:p w:rsidR="00115823" w:rsidRPr="00F930A7" w:rsidRDefault="00172969" w:rsidP="00F15F7D">
            <w:pPr>
              <w:numPr>
                <w:ilvl w:val="0"/>
                <w:numId w:val="1"/>
              </w:numPr>
              <w:spacing w:after="0" w:line="240" w:lineRule="auto"/>
              <w:rPr>
                <w:rFonts w:eastAsia="MS Mincho" w:cstheme="minorHAnsi"/>
                <w:noProof/>
                <w:lang w:val="en-US"/>
              </w:rPr>
            </w:pPr>
            <w:r>
              <w:rPr>
                <w:rFonts w:cstheme="minorHAnsi"/>
                <w:lang w:val="ro-RO"/>
              </w:rPr>
              <w:t>Understand how literature and film use medium-specific means to tell stories, create fictional worlds, characterise, suspend disbelief in the process of reading/watching, elicit an emotional response from the reader/viewer, etc.</w:t>
            </w:r>
            <w:r w:rsidR="00115823" w:rsidRPr="00F930A7">
              <w:rPr>
                <w:rFonts w:eastAsia="MS Mincho" w:cstheme="minorHAnsi"/>
                <w:noProof/>
                <w:lang w:val="en-US"/>
              </w:rPr>
              <w:t xml:space="preserve"> </w:t>
            </w:r>
          </w:p>
          <w:p w:rsidR="00EB3427" w:rsidRPr="00EB3427" w:rsidRDefault="00EB3427" w:rsidP="00F15F7D">
            <w:pPr>
              <w:numPr>
                <w:ilvl w:val="0"/>
                <w:numId w:val="1"/>
              </w:numPr>
              <w:spacing w:after="0" w:line="240" w:lineRule="auto"/>
              <w:rPr>
                <w:rFonts w:cstheme="minorHAnsi"/>
                <w:lang w:val="ro-RO"/>
              </w:rPr>
            </w:pPr>
            <w:r>
              <w:rPr>
                <w:rFonts w:eastAsia="MS Mincho" w:cstheme="minorHAnsi"/>
                <w:noProof/>
                <w:lang w:val="en-US"/>
              </w:rPr>
              <w:t xml:space="preserve">Analyse literary texts and </w:t>
            </w:r>
            <w:r w:rsidR="00115823" w:rsidRPr="00F930A7">
              <w:rPr>
                <w:rFonts w:eastAsia="MS Mincho" w:cstheme="minorHAnsi"/>
                <w:noProof/>
                <w:lang w:val="en-US"/>
              </w:rPr>
              <w:t>film scenes from various perspectives (aesthetic, technical, cultural)</w:t>
            </w:r>
          </w:p>
          <w:p w:rsidR="00115823" w:rsidRPr="00DC6624" w:rsidRDefault="00EB3427" w:rsidP="00F15F7D">
            <w:pPr>
              <w:numPr>
                <w:ilvl w:val="0"/>
                <w:numId w:val="1"/>
              </w:numPr>
              <w:spacing w:after="0" w:line="240" w:lineRule="auto"/>
              <w:rPr>
                <w:rFonts w:cstheme="minorHAnsi"/>
                <w:lang w:val="ro-RO"/>
              </w:rPr>
            </w:pPr>
            <w:r w:rsidRPr="00DC6624">
              <w:rPr>
                <w:rFonts w:eastAsia="MS Mincho" w:cstheme="minorHAnsi"/>
                <w:noProof/>
                <w:lang w:val="en-US"/>
              </w:rPr>
              <w:t>Comment on literary texts and their film adaptations  from the point of view of their historical and cultural relevance, their  ideological stance, as well as their artistic qualities</w:t>
            </w:r>
          </w:p>
          <w:p w:rsidR="00A16FCD" w:rsidRPr="00F930A7" w:rsidRDefault="00A16FCD" w:rsidP="00F15F7D">
            <w:pPr>
              <w:numPr>
                <w:ilvl w:val="0"/>
                <w:numId w:val="1"/>
              </w:numPr>
              <w:spacing w:after="0" w:line="240" w:lineRule="auto"/>
              <w:rPr>
                <w:rFonts w:cstheme="minorHAnsi"/>
                <w:lang w:val="ro-RO"/>
              </w:rPr>
            </w:pPr>
            <w:r w:rsidRPr="00DC6624">
              <w:rPr>
                <w:rFonts w:cstheme="minorHAnsi"/>
                <w:lang w:val="ro-RO"/>
              </w:rPr>
              <w:t>use the appropriate critical apparatus specific to adaptation studies (with focus on film adaptation)</w:t>
            </w:r>
            <w:r w:rsidRPr="0012336F">
              <w:rPr>
                <w:rFonts w:cstheme="minorHAnsi"/>
                <w:lang w:val="ro-RO"/>
              </w:rPr>
              <w:t xml:space="preserve">  </w:t>
            </w:r>
          </w:p>
        </w:tc>
      </w:tr>
      <w:tr w:rsidR="00115823" w:rsidRPr="0012336F" w:rsidTr="00F15F7D">
        <w:tc>
          <w:tcPr>
            <w:tcW w:w="562" w:type="dxa"/>
            <w:shd w:val="clear" w:color="auto" w:fill="A6A6A6" w:themeFill="background1" w:themeFillShade="A6"/>
          </w:tcPr>
          <w:p w:rsidR="00115823" w:rsidRPr="0012336F" w:rsidRDefault="00115823" w:rsidP="00F15F7D">
            <w:pPr>
              <w:spacing w:after="0" w:line="240" w:lineRule="auto"/>
              <w:rPr>
                <w:rStyle w:val="SubtleReference"/>
                <w:rFonts w:cstheme="minorHAnsi"/>
                <w:color w:val="FFFFFF" w:themeColor="background1"/>
                <w:lang w:val="ro-RO"/>
              </w:rPr>
            </w:pPr>
            <w:r w:rsidRPr="0012336F">
              <w:rPr>
                <w:rStyle w:val="SubtleReference"/>
                <w:rFonts w:cstheme="minorHAnsi"/>
                <w:color w:val="FFFFFF" w:themeColor="background1"/>
                <w:lang w:val="ro-RO"/>
              </w:rPr>
              <w:t>C</w:t>
            </w:r>
          </w:p>
        </w:tc>
        <w:tc>
          <w:tcPr>
            <w:tcW w:w="8647" w:type="dxa"/>
            <w:gridSpan w:val="2"/>
            <w:shd w:val="clear" w:color="auto" w:fill="A6A6A6" w:themeFill="background1" w:themeFillShade="A6"/>
          </w:tcPr>
          <w:p w:rsidR="00115823" w:rsidRPr="00F930A7" w:rsidRDefault="00115823" w:rsidP="00F15F7D">
            <w:pPr>
              <w:spacing w:after="0" w:line="240" w:lineRule="auto"/>
              <w:jc w:val="both"/>
              <w:rPr>
                <w:rFonts w:cstheme="minorHAnsi"/>
                <w:b/>
                <w:color w:val="FFFFFF" w:themeColor="background1"/>
                <w:lang w:val="ro-RO"/>
              </w:rPr>
            </w:pPr>
            <w:r w:rsidRPr="00F930A7">
              <w:rPr>
                <w:rStyle w:val="SubtleReference"/>
                <w:rFonts w:cstheme="minorHAnsi"/>
                <w:b/>
                <w:color w:val="FFFFFF" w:themeColor="background1"/>
                <w:lang w:val="ro-RO"/>
              </w:rPr>
              <w:t>Lecture content</w:t>
            </w:r>
          </w:p>
        </w:tc>
      </w:tr>
      <w:tr w:rsidR="00115823" w:rsidRPr="0012336F" w:rsidTr="00F15F7D">
        <w:tc>
          <w:tcPr>
            <w:tcW w:w="562" w:type="dxa"/>
            <w:shd w:val="clear" w:color="auto" w:fill="F2F2F2" w:themeFill="background1" w:themeFillShade="F2"/>
          </w:tcPr>
          <w:p w:rsidR="00115823" w:rsidRPr="0012336F" w:rsidRDefault="00115823" w:rsidP="00F15F7D">
            <w:pPr>
              <w:spacing w:after="0" w:line="240" w:lineRule="auto"/>
              <w:rPr>
                <w:rStyle w:val="SubtleReference"/>
                <w:rFonts w:cstheme="minorHAnsi"/>
                <w:lang w:val="ro-RO"/>
              </w:rPr>
            </w:pPr>
          </w:p>
        </w:tc>
        <w:tc>
          <w:tcPr>
            <w:tcW w:w="8647" w:type="dxa"/>
            <w:gridSpan w:val="2"/>
            <w:shd w:val="clear" w:color="auto" w:fill="F2F2F2" w:themeFill="background1" w:themeFillShade="F2"/>
          </w:tcPr>
          <w:p w:rsidR="00115823" w:rsidRPr="00F930A7" w:rsidRDefault="00F930A7" w:rsidP="00F930A7">
            <w:pPr>
              <w:rPr>
                <w:rFonts w:cstheme="minorHAnsi"/>
                <w:lang w:val="en-US"/>
              </w:rPr>
            </w:pPr>
            <w:r w:rsidRPr="00F930A7">
              <w:rPr>
                <w:rFonts w:cstheme="minorHAnsi"/>
                <w:lang w:val="en-US"/>
              </w:rPr>
              <w:t xml:space="preserve">1.Literature and film, a comparative approach covering issues such as: essential narrative elements (plot, character, setting, themes, point of view, style, symbolism, tone); key elements of film language (shot, cinematic point of view; camerawork, editing and montage, lighting) and the uniqueness of film. 2. Film adaptation: definition(s), adaptation as process and as a product; difficulties in the process of adaptation (a genre approach). 3. The question of fidelity and film adaption as a creative process. 4.-6. Adapting a novel for the screen. Possible problems and challenges for the screen writer and the filmmaker. The canonical text and the audience’s expectations. Possible solutions. </w:t>
            </w:r>
            <w:r w:rsidRPr="00F930A7">
              <w:rPr>
                <w:rFonts w:cstheme="minorHAnsi"/>
                <w:i/>
                <w:lang w:val="en-US"/>
              </w:rPr>
              <w:t>Case study 1</w:t>
            </w:r>
            <w:r w:rsidRPr="00F930A7">
              <w:rPr>
                <w:rFonts w:cstheme="minorHAnsi"/>
                <w:lang w:val="en-US"/>
              </w:rPr>
              <w:t xml:space="preserve">   Jane Austen’s </w:t>
            </w:r>
            <w:r w:rsidRPr="00F930A7">
              <w:rPr>
                <w:rFonts w:cstheme="minorHAnsi"/>
                <w:i/>
                <w:lang w:val="en-US"/>
              </w:rPr>
              <w:t xml:space="preserve">Pride and </w:t>
            </w:r>
            <w:r w:rsidRPr="00F930A7">
              <w:rPr>
                <w:rFonts w:cstheme="minorHAnsi"/>
                <w:i/>
                <w:lang w:val="en-US"/>
              </w:rPr>
              <w:lastRenderedPageBreak/>
              <w:t>Prejudice</w:t>
            </w:r>
            <w:r w:rsidRPr="00F930A7">
              <w:rPr>
                <w:rFonts w:cstheme="minorHAnsi"/>
                <w:lang w:val="en-US"/>
              </w:rPr>
              <w:t xml:space="preserve"> (1813):  cultural context, main themes and character portrayal, the romance plot and satire in the novel. Key issues related to the novel’s reception and interpretation. Reasons for the novel’s popularity in the English-speaking world and not only. Two adaptations of the novel: the 1995 BBC series (screenplay by Andrew Davies, directed by Simon Langton) and the 2005 feature film (screenplay by </w:t>
            </w:r>
            <w:r w:rsidRPr="00F930A7">
              <w:rPr>
                <w:rFonts w:eastAsia="MS Mincho" w:cstheme="minorHAnsi"/>
                <w:noProof/>
                <w:lang w:val="en-US"/>
              </w:rPr>
              <w:t xml:space="preserve">Deborah Moggach, directed by John Wright). Key scenes from the two films and the different approaches to the themes and characters; the importance of casting choices. </w:t>
            </w:r>
            <w:r w:rsidRPr="00F930A7">
              <w:rPr>
                <w:rFonts w:cstheme="minorHAnsi"/>
                <w:lang w:val="en-US"/>
              </w:rPr>
              <w:t xml:space="preserve">7-10. </w:t>
            </w:r>
            <w:r w:rsidRPr="00F930A7">
              <w:rPr>
                <w:rFonts w:cstheme="minorHAnsi"/>
                <w:i/>
                <w:lang w:val="en-US"/>
              </w:rPr>
              <w:t xml:space="preserve">Case study </w:t>
            </w:r>
            <w:proofErr w:type="gramStart"/>
            <w:r w:rsidRPr="00F930A7">
              <w:rPr>
                <w:rFonts w:cstheme="minorHAnsi"/>
                <w:i/>
                <w:lang w:val="en-US"/>
              </w:rPr>
              <w:t>2</w:t>
            </w:r>
            <w:r w:rsidRPr="00F930A7">
              <w:rPr>
                <w:rFonts w:cstheme="minorHAnsi"/>
                <w:lang w:val="en-US"/>
              </w:rPr>
              <w:t xml:space="preserve">  </w:t>
            </w:r>
            <w:r w:rsidRPr="00F930A7">
              <w:rPr>
                <w:rFonts w:eastAsia="Times New Roman" w:cstheme="minorHAnsi"/>
                <w:bCs/>
                <w:lang w:val="ro-RO"/>
              </w:rPr>
              <w:t>F</w:t>
            </w:r>
            <w:proofErr w:type="gramEnd"/>
            <w:r w:rsidRPr="00F930A7">
              <w:rPr>
                <w:rFonts w:eastAsia="Times New Roman" w:cstheme="minorHAnsi"/>
                <w:bCs/>
                <w:lang w:val="ro-RO"/>
              </w:rPr>
              <w:t xml:space="preserve">. Scott Fitzgerald’s </w:t>
            </w:r>
            <w:r w:rsidRPr="00F930A7">
              <w:rPr>
                <w:rFonts w:eastAsia="Times New Roman" w:cstheme="minorHAnsi"/>
                <w:b/>
                <w:bCs/>
                <w:i/>
                <w:lang w:val="ro-RO"/>
              </w:rPr>
              <w:t>The Great Gatsby</w:t>
            </w:r>
            <w:r w:rsidRPr="00F930A7">
              <w:rPr>
                <w:rFonts w:eastAsia="Times New Roman" w:cstheme="minorHAnsi"/>
                <w:bCs/>
                <w:lang w:val="ro-RO"/>
              </w:rPr>
              <w:t xml:space="preserve"> (1925). </w:t>
            </w:r>
            <w:r w:rsidRPr="00F930A7">
              <w:rPr>
                <w:rFonts w:eastAsia="Times New Roman" w:cstheme="minorHAnsi"/>
                <w:lang w:val="en-US"/>
              </w:rPr>
              <w:t xml:space="preserve">Cultural context, themes, main characters and possible interpretations of the novel. </w:t>
            </w:r>
            <w:r w:rsidRPr="00F930A7">
              <w:rPr>
                <w:rFonts w:eastAsia="Times New Roman" w:cstheme="minorHAnsi"/>
                <w:bCs/>
                <w:i/>
                <w:lang w:val="ro-RO"/>
              </w:rPr>
              <w:t>The Great Gatsby</w:t>
            </w:r>
            <w:r w:rsidRPr="00F930A7">
              <w:rPr>
                <w:rFonts w:eastAsia="Times New Roman" w:cstheme="minorHAnsi"/>
                <w:bCs/>
                <w:lang w:val="ro-RO"/>
              </w:rPr>
              <w:t xml:space="preserve"> (1974), directed by Jack Clayton, with a screenplay by Francis Ford Coppola. Key scenes from the novel as reinterpreted by the adapters; the importance of casting in the viewers’ interpretation of the main characters. Key scenes from the novel as reinterpreted by the adapters; the importance of casting in the viewers’ interpretation of the main characters.</w:t>
            </w:r>
            <w:r w:rsidRPr="00F930A7">
              <w:rPr>
                <w:rFonts w:cstheme="minorHAnsi"/>
                <w:lang w:val="en-US"/>
              </w:rPr>
              <w:t xml:space="preserve"> </w:t>
            </w:r>
            <w:r w:rsidRPr="00F930A7">
              <w:rPr>
                <w:rFonts w:eastAsia="Times New Roman" w:cstheme="minorHAnsi"/>
                <w:bCs/>
                <w:i/>
                <w:lang w:val="ro-RO"/>
              </w:rPr>
              <w:t>The Great Gatsby</w:t>
            </w:r>
            <w:r w:rsidRPr="00F930A7">
              <w:rPr>
                <w:rFonts w:eastAsia="Times New Roman" w:cstheme="minorHAnsi"/>
                <w:bCs/>
                <w:lang w:val="ro-RO"/>
              </w:rPr>
              <w:t xml:space="preserve"> (2013), directed and co-written by Baz Luhrmann. Key scenes from the novel as reinterpreted by the adapters; the importance of casting in the viewers’ interpretation of the main characters. A contrastive analysis of the two adaptations and a possible hierarchy in terms of fidelity to the source text and appropriateness of creative solutions in key scenes.</w:t>
            </w:r>
            <w:r w:rsidRPr="00F930A7">
              <w:rPr>
                <w:rFonts w:eastAsia="MS Mincho" w:cstheme="minorHAnsi"/>
                <w:noProof/>
                <w:lang w:val="en-US"/>
              </w:rPr>
              <w:t xml:space="preserve"> 11-12. </w:t>
            </w:r>
            <w:r w:rsidRPr="00F930A7">
              <w:rPr>
                <w:rFonts w:eastAsia="MS Mincho" w:cstheme="minorHAnsi"/>
                <w:i/>
                <w:noProof/>
                <w:lang w:val="en-US"/>
              </w:rPr>
              <w:t>Case study 3</w:t>
            </w:r>
            <w:r w:rsidRPr="00F930A7">
              <w:rPr>
                <w:rFonts w:eastAsia="MS Mincho" w:cstheme="minorHAnsi"/>
                <w:noProof/>
                <w:lang w:val="en-US"/>
              </w:rPr>
              <w:t xml:space="preserve"> Ray Bradbury’s </w:t>
            </w:r>
            <w:r w:rsidRPr="00F930A7">
              <w:rPr>
                <w:rFonts w:eastAsia="MS Mincho" w:cstheme="minorHAnsi"/>
                <w:i/>
                <w:noProof/>
                <w:lang w:val="en-US"/>
              </w:rPr>
              <w:t>451 Fahrenheit</w:t>
            </w:r>
            <w:r w:rsidRPr="00F930A7">
              <w:rPr>
                <w:rFonts w:eastAsia="MS Mincho" w:cstheme="minorHAnsi"/>
                <w:noProof/>
                <w:lang w:val="en-US"/>
              </w:rPr>
              <w:t xml:space="preserve"> (1953) </w:t>
            </w:r>
            <w:r w:rsidRPr="00F930A7">
              <w:rPr>
                <w:rFonts w:eastAsia="Times New Roman" w:cstheme="minorHAnsi"/>
                <w:lang w:val="en-US"/>
              </w:rPr>
              <w:t xml:space="preserve">Cultural context, themes, main characters, possible interpretations of the novel and its relevance for contemporary readers. </w:t>
            </w:r>
            <w:r w:rsidRPr="00F930A7">
              <w:rPr>
                <w:rFonts w:eastAsia="Times New Roman" w:cstheme="minorHAnsi"/>
                <w:bCs/>
                <w:i/>
                <w:lang w:val="ro-RO"/>
              </w:rPr>
              <w:t>Fahrenheit 451</w:t>
            </w:r>
            <w:r w:rsidRPr="00F930A7">
              <w:rPr>
                <w:rFonts w:eastAsia="Times New Roman" w:cstheme="minorHAnsi"/>
                <w:b/>
                <w:bCs/>
                <w:lang w:val="ro-RO"/>
              </w:rPr>
              <w:t xml:space="preserve"> </w:t>
            </w:r>
            <w:r w:rsidRPr="00F930A7">
              <w:rPr>
                <w:rFonts w:eastAsia="Times New Roman" w:cstheme="minorHAnsi"/>
                <w:bCs/>
                <w:lang w:val="ro-RO"/>
              </w:rPr>
              <w:t xml:space="preserve">(1966), directed and co-written by François Truffaut and </w:t>
            </w:r>
            <w:r w:rsidRPr="00F930A7">
              <w:rPr>
                <w:rFonts w:eastAsia="Times New Roman" w:cstheme="minorHAnsi"/>
                <w:bCs/>
                <w:i/>
                <w:lang w:val="ro-RO"/>
              </w:rPr>
              <w:t>Fahrenheit 451</w:t>
            </w:r>
            <w:r w:rsidRPr="00F930A7">
              <w:rPr>
                <w:rFonts w:eastAsia="Times New Roman" w:cstheme="minorHAnsi"/>
                <w:bCs/>
                <w:lang w:val="ro-RO"/>
              </w:rPr>
              <w:t xml:space="preserve"> (2018), directed and co-written by Ramin Bahrani, a comparative approach.  </w:t>
            </w:r>
            <w:r w:rsidRPr="00F930A7">
              <w:rPr>
                <w:rFonts w:cstheme="minorHAnsi"/>
                <w:i/>
                <w:lang w:val="en-US"/>
              </w:rPr>
              <w:t xml:space="preserve">Case study </w:t>
            </w:r>
            <w:proofErr w:type="gramStart"/>
            <w:r w:rsidRPr="00F930A7">
              <w:rPr>
                <w:rFonts w:cstheme="minorHAnsi"/>
                <w:i/>
                <w:lang w:val="en-US"/>
              </w:rPr>
              <w:t>4</w:t>
            </w:r>
            <w:r w:rsidRPr="00F930A7">
              <w:rPr>
                <w:rFonts w:cstheme="minorHAnsi"/>
                <w:lang w:val="en-US"/>
              </w:rPr>
              <w:t xml:space="preserve">  </w:t>
            </w:r>
            <w:r w:rsidRPr="00F930A7">
              <w:rPr>
                <w:rFonts w:cstheme="minorHAnsi"/>
                <w:i/>
                <w:lang w:val="en-US"/>
              </w:rPr>
              <w:t>Romeo</w:t>
            </w:r>
            <w:proofErr w:type="gramEnd"/>
            <w:r w:rsidRPr="00F930A7">
              <w:rPr>
                <w:rFonts w:cstheme="minorHAnsi"/>
                <w:i/>
                <w:lang w:val="en-US"/>
              </w:rPr>
              <w:t xml:space="preserve"> and Juliet </w:t>
            </w:r>
            <w:r w:rsidRPr="00F930A7">
              <w:rPr>
                <w:rFonts w:cstheme="minorHAnsi"/>
                <w:lang w:val="en-US"/>
              </w:rPr>
              <w:t xml:space="preserve">(1595). The universal appeal of the two lovers’ story and the </w:t>
            </w:r>
            <w:proofErr w:type="spellStart"/>
            <w:r w:rsidRPr="00F930A7">
              <w:rPr>
                <w:rFonts w:cstheme="minorHAnsi"/>
                <w:lang w:val="en-US"/>
              </w:rPr>
              <w:t>Liebestod</w:t>
            </w:r>
            <w:proofErr w:type="spellEnd"/>
            <w:r w:rsidRPr="00F930A7">
              <w:rPr>
                <w:rFonts w:cstheme="minorHAnsi"/>
                <w:lang w:val="en-US"/>
              </w:rPr>
              <w:t xml:space="preserve"> myth as possible reasons for the play’s popularity with audiences and movie studios. A brief history of the film adaptations of the play. Approaches to the play’s themes and protagonists. Two film adaptations that had a strong impact when they were released: Franco </w:t>
            </w:r>
            <w:proofErr w:type="spellStart"/>
            <w:r w:rsidRPr="00F930A7">
              <w:rPr>
                <w:rFonts w:cstheme="minorHAnsi"/>
                <w:lang w:val="en-US"/>
              </w:rPr>
              <w:t>Zeffirelli’s</w:t>
            </w:r>
            <w:proofErr w:type="spellEnd"/>
            <w:r w:rsidRPr="00F930A7">
              <w:rPr>
                <w:rFonts w:cstheme="minorHAnsi"/>
                <w:lang w:val="en-US"/>
              </w:rPr>
              <w:t xml:space="preserve"> </w:t>
            </w:r>
            <w:r w:rsidRPr="00F930A7">
              <w:rPr>
                <w:rFonts w:eastAsia="Calibri" w:cstheme="minorHAnsi"/>
                <w:i/>
                <w:lang w:val="en-US"/>
              </w:rPr>
              <w:t>Romeo and Juliet</w:t>
            </w:r>
            <w:r w:rsidRPr="00F930A7">
              <w:rPr>
                <w:rFonts w:eastAsia="Calibri" w:cstheme="minorHAnsi"/>
                <w:lang w:val="en-US"/>
              </w:rPr>
              <w:t xml:space="preserve"> (1968), and Baz Luhrmann’s (with Craig Pearce as co-writer of the script) </w:t>
            </w:r>
            <w:r w:rsidRPr="00F930A7">
              <w:rPr>
                <w:rFonts w:eastAsia="Calibri" w:cstheme="minorHAnsi"/>
                <w:i/>
                <w:lang w:val="en-US"/>
              </w:rPr>
              <w:t>Romeo † Juliet</w:t>
            </w:r>
            <w:r w:rsidRPr="00F930A7">
              <w:rPr>
                <w:rFonts w:eastAsia="Calibri" w:cstheme="minorHAnsi"/>
                <w:lang w:val="en-US"/>
              </w:rPr>
              <w:t xml:space="preserve"> (1996)</w:t>
            </w:r>
            <w:r w:rsidRPr="00F930A7">
              <w:rPr>
                <w:rFonts w:cstheme="minorHAnsi"/>
                <w:lang w:val="en-US"/>
              </w:rPr>
              <w:t xml:space="preserve">. </w:t>
            </w:r>
            <w:r w:rsidRPr="00F930A7">
              <w:rPr>
                <w:rFonts w:eastAsia="Calibri" w:cstheme="minorHAnsi"/>
                <w:lang w:val="en-US"/>
              </w:rPr>
              <w:t xml:space="preserve">Film adaptation as cultural rewriting. </w:t>
            </w:r>
            <w:r w:rsidRPr="00F930A7">
              <w:rPr>
                <w:rFonts w:eastAsia="Calibri" w:cstheme="minorHAnsi"/>
                <w:i/>
                <w:lang w:val="en-US"/>
              </w:rPr>
              <w:t>West Side Story</w:t>
            </w:r>
            <w:r w:rsidRPr="00F930A7">
              <w:rPr>
                <w:rFonts w:eastAsia="Calibri" w:cstheme="minorHAnsi"/>
                <w:lang w:val="en-US"/>
              </w:rPr>
              <w:t xml:space="preserve"> (1961), directed by Jerome Robbins and Robert Wise, as an American rewriting of the Shakespearean play. </w:t>
            </w:r>
            <w:r w:rsidRPr="00F930A7">
              <w:rPr>
                <w:rFonts w:eastAsia="Calibri" w:cstheme="minorHAnsi"/>
                <w:i/>
                <w:lang w:val="en-US"/>
              </w:rPr>
              <w:t>Romeo and Juliet</w:t>
            </w:r>
            <w:r w:rsidRPr="00F930A7">
              <w:rPr>
                <w:rFonts w:eastAsia="Calibri" w:cstheme="minorHAnsi"/>
                <w:lang w:val="en-US"/>
              </w:rPr>
              <w:t xml:space="preserve"> from a Japanese perspective: the </w:t>
            </w:r>
            <w:r w:rsidRPr="00F930A7">
              <w:rPr>
                <w:rFonts w:eastAsia="MS Mincho" w:cstheme="minorHAnsi"/>
                <w:i/>
                <w:noProof/>
                <w:lang w:val="en-US"/>
              </w:rPr>
              <w:t>Romeo X Juliet</w:t>
            </w:r>
            <w:r w:rsidRPr="00F930A7">
              <w:rPr>
                <w:rFonts w:eastAsia="MS Mincho" w:cstheme="minorHAnsi"/>
                <w:noProof/>
                <w:lang w:val="en-US"/>
              </w:rPr>
              <w:t xml:space="preserve"> (2007) </w:t>
            </w:r>
            <w:r w:rsidRPr="00F930A7">
              <w:rPr>
                <w:rFonts w:eastAsia="Calibri" w:cstheme="minorHAnsi"/>
                <w:lang w:val="en-US"/>
              </w:rPr>
              <w:t>anime series. Radical adaptation as a form of cultural appropriation.</w:t>
            </w:r>
            <w:r w:rsidRPr="00F930A7">
              <w:rPr>
                <w:rFonts w:cstheme="minorHAnsi"/>
                <w:lang w:val="en-US"/>
              </w:rPr>
              <w:t xml:space="preserve"> </w:t>
            </w:r>
            <w:r w:rsidR="00115823" w:rsidRPr="00F930A7">
              <w:rPr>
                <w:rFonts w:cstheme="minorHAnsi"/>
                <w:noProof/>
                <w:lang w:val="en-US"/>
              </w:rPr>
              <w:t xml:space="preserve">Concluding remarks. </w:t>
            </w:r>
          </w:p>
        </w:tc>
      </w:tr>
      <w:tr w:rsidR="00115823" w:rsidRPr="0012336F" w:rsidTr="00F15F7D">
        <w:tc>
          <w:tcPr>
            <w:tcW w:w="562" w:type="dxa"/>
            <w:shd w:val="clear" w:color="auto" w:fill="A6A6A6" w:themeFill="background1" w:themeFillShade="A6"/>
          </w:tcPr>
          <w:p w:rsidR="00115823" w:rsidRPr="0012336F" w:rsidRDefault="00115823" w:rsidP="00F15F7D">
            <w:pPr>
              <w:spacing w:after="0" w:line="240" w:lineRule="auto"/>
              <w:rPr>
                <w:rStyle w:val="SubtleReference"/>
                <w:rFonts w:cstheme="minorHAnsi"/>
                <w:color w:val="FFFFFF" w:themeColor="background1"/>
                <w:lang w:val="ro-RO"/>
              </w:rPr>
            </w:pPr>
            <w:r w:rsidRPr="0012336F">
              <w:rPr>
                <w:rStyle w:val="SubtleReference"/>
                <w:rFonts w:cstheme="minorHAnsi"/>
                <w:color w:val="FFFFFF" w:themeColor="background1"/>
                <w:lang w:val="ro-RO"/>
              </w:rPr>
              <w:lastRenderedPageBreak/>
              <w:t>D</w:t>
            </w:r>
          </w:p>
        </w:tc>
        <w:tc>
          <w:tcPr>
            <w:tcW w:w="8647" w:type="dxa"/>
            <w:gridSpan w:val="2"/>
            <w:shd w:val="clear" w:color="auto" w:fill="A6A6A6" w:themeFill="background1" w:themeFillShade="A6"/>
          </w:tcPr>
          <w:p w:rsidR="00115823" w:rsidRPr="0012336F" w:rsidRDefault="00115823" w:rsidP="00F15F7D">
            <w:pPr>
              <w:spacing w:after="0" w:line="240" w:lineRule="auto"/>
              <w:jc w:val="both"/>
              <w:rPr>
                <w:rFonts w:cstheme="minorHAnsi"/>
                <w:b/>
                <w:color w:val="FFFFFF" w:themeColor="background1"/>
                <w:lang w:val="ro-RO"/>
              </w:rPr>
            </w:pPr>
            <w:r w:rsidRPr="0012336F">
              <w:rPr>
                <w:rStyle w:val="SubtleReference"/>
                <w:rFonts w:cstheme="minorHAnsi"/>
                <w:b/>
                <w:color w:val="FFFFFF" w:themeColor="background1"/>
                <w:lang w:val="ro-RO"/>
              </w:rPr>
              <w:t>Recommended reading for lectures</w:t>
            </w:r>
          </w:p>
        </w:tc>
      </w:tr>
      <w:tr w:rsidR="00115823" w:rsidRPr="0012336F" w:rsidTr="00F15F7D">
        <w:tc>
          <w:tcPr>
            <w:tcW w:w="562" w:type="dxa"/>
            <w:shd w:val="clear" w:color="auto" w:fill="F2F2F2" w:themeFill="background1" w:themeFillShade="F2"/>
          </w:tcPr>
          <w:p w:rsidR="00115823" w:rsidRPr="0012336F" w:rsidRDefault="00115823" w:rsidP="00F15F7D">
            <w:pPr>
              <w:spacing w:after="0" w:line="240" w:lineRule="auto"/>
              <w:rPr>
                <w:rStyle w:val="SubtleReference"/>
                <w:rFonts w:cstheme="minorHAnsi"/>
                <w:lang w:val="ro-RO"/>
              </w:rPr>
            </w:pPr>
          </w:p>
        </w:tc>
        <w:tc>
          <w:tcPr>
            <w:tcW w:w="8647" w:type="dxa"/>
            <w:gridSpan w:val="2"/>
            <w:shd w:val="clear" w:color="auto" w:fill="F2F2F2" w:themeFill="background1" w:themeFillShade="F2"/>
          </w:tcPr>
          <w:p w:rsidR="00DC6624" w:rsidRPr="00B96286" w:rsidRDefault="00115823" w:rsidP="00DC6624">
            <w:pPr>
              <w:spacing w:after="0" w:line="240" w:lineRule="auto"/>
              <w:contextualSpacing/>
              <w:rPr>
                <w:rFonts w:ascii="Arial" w:eastAsia="Times New Roman" w:hAnsi="Arial" w:cs="Arial"/>
                <w:i/>
                <w:sz w:val="20"/>
                <w:szCs w:val="20"/>
                <w:lang w:val="en-US"/>
              </w:rPr>
            </w:pPr>
            <w:r w:rsidRPr="0012336F">
              <w:rPr>
                <w:rFonts w:cstheme="minorHAnsi"/>
              </w:rPr>
              <w:t xml:space="preserve"> </w:t>
            </w:r>
            <w:r w:rsidR="00DC6624" w:rsidRPr="00B96286">
              <w:rPr>
                <w:rFonts w:ascii="Arial" w:eastAsia="Times New Roman" w:hAnsi="Arial" w:cs="Arial"/>
                <w:sz w:val="20"/>
                <w:szCs w:val="20"/>
                <w:lang w:val="en-US"/>
              </w:rPr>
              <w:t>Bloom, Harold (ed.).</w:t>
            </w:r>
            <w:r w:rsidR="00DC6624" w:rsidRPr="00B96286">
              <w:rPr>
                <w:rFonts w:ascii="Arial" w:eastAsia="Times New Roman" w:hAnsi="Arial" w:cs="Arial"/>
                <w:i/>
                <w:sz w:val="20"/>
                <w:szCs w:val="20"/>
                <w:lang w:val="en-US"/>
              </w:rPr>
              <w:t xml:space="preserve">  Bloom’s Guides. Ray Bradbury’s </w:t>
            </w:r>
            <w:r w:rsidR="00DC6624" w:rsidRPr="00B96286">
              <w:rPr>
                <w:rFonts w:ascii="Arial" w:eastAsia="Times New Roman" w:hAnsi="Arial" w:cs="Arial"/>
                <w:b/>
                <w:i/>
                <w:sz w:val="20"/>
                <w:szCs w:val="20"/>
                <w:lang w:val="en-US"/>
              </w:rPr>
              <w:t>Fahrenheit 451</w:t>
            </w:r>
            <w:r w:rsidR="00DC6624" w:rsidRPr="00B96286">
              <w:rPr>
                <w:rFonts w:ascii="Arial" w:eastAsia="Times New Roman" w:hAnsi="Arial" w:cs="Arial"/>
                <w:i/>
                <w:sz w:val="20"/>
                <w:szCs w:val="20"/>
                <w:lang w:val="en-US"/>
              </w:rPr>
              <w:t>,</w:t>
            </w:r>
            <w:r w:rsidR="00DC6624" w:rsidRPr="00B96286">
              <w:rPr>
                <w:rFonts w:ascii="Arial" w:eastAsia="Times New Roman" w:hAnsi="Arial" w:cs="Arial"/>
                <w:sz w:val="20"/>
                <w:szCs w:val="20"/>
                <w:lang w:val="en-US"/>
              </w:rPr>
              <w:t xml:space="preserve"> New York: </w:t>
            </w:r>
            <w:proofErr w:type="spellStart"/>
            <w:r w:rsidR="00DC6624" w:rsidRPr="00B96286">
              <w:rPr>
                <w:rFonts w:ascii="Arial" w:eastAsia="Times New Roman" w:hAnsi="Arial" w:cs="Arial"/>
                <w:sz w:val="20"/>
                <w:szCs w:val="20"/>
                <w:lang w:val="en-US"/>
              </w:rPr>
              <w:t>Infobase</w:t>
            </w:r>
            <w:proofErr w:type="spellEnd"/>
            <w:r w:rsidR="00DC6624" w:rsidRPr="00B96286">
              <w:rPr>
                <w:rFonts w:ascii="Arial" w:eastAsia="Times New Roman" w:hAnsi="Arial" w:cs="Arial"/>
                <w:sz w:val="20"/>
                <w:szCs w:val="20"/>
                <w:lang w:val="en-US"/>
              </w:rPr>
              <w:t xml:space="preserve"> Publishing, 2007.</w:t>
            </w:r>
          </w:p>
          <w:p w:rsidR="00DC6624" w:rsidRPr="00B96286" w:rsidRDefault="00DC6624" w:rsidP="00DC6624">
            <w:pPr>
              <w:spacing w:after="0" w:line="240" w:lineRule="auto"/>
              <w:contextualSpacing/>
              <w:rPr>
                <w:rFonts w:ascii="Arial" w:eastAsia="Times New Roman" w:hAnsi="Arial" w:cs="Arial"/>
                <w:sz w:val="20"/>
                <w:szCs w:val="20"/>
                <w:lang w:val="en-US"/>
              </w:rPr>
            </w:pPr>
            <w:r w:rsidRPr="00B96286">
              <w:rPr>
                <w:rFonts w:ascii="Arial" w:eastAsia="Times New Roman" w:hAnsi="Arial" w:cs="Arial"/>
                <w:i/>
                <w:sz w:val="20"/>
                <w:szCs w:val="20"/>
                <w:lang w:val="en-US"/>
              </w:rPr>
              <w:t xml:space="preserve">---Bloom’s Modern Critical Views. Jane Austen, </w:t>
            </w:r>
            <w:r w:rsidRPr="00B96286">
              <w:rPr>
                <w:rFonts w:ascii="Arial" w:eastAsia="Times New Roman" w:hAnsi="Arial" w:cs="Arial"/>
                <w:sz w:val="20"/>
                <w:szCs w:val="20"/>
                <w:lang w:val="en-US"/>
              </w:rPr>
              <w:t xml:space="preserve">Bloom’s Literary Criticism, New York: </w:t>
            </w:r>
            <w:proofErr w:type="spellStart"/>
            <w:r w:rsidRPr="00B96286">
              <w:rPr>
                <w:rFonts w:ascii="Arial" w:eastAsia="Times New Roman" w:hAnsi="Arial" w:cs="Arial"/>
                <w:sz w:val="20"/>
                <w:szCs w:val="20"/>
                <w:lang w:val="en-US"/>
              </w:rPr>
              <w:t>Infobase</w:t>
            </w:r>
            <w:proofErr w:type="spellEnd"/>
            <w:r w:rsidRPr="00B96286">
              <w:rPr>
                <w:rFonts w:ascii="Arial" w:eastAsia="Times New Roman" w:hAnsi="Arial" w:cs="Arial"/>
                <w:sz w:val="20"/>
                <w:szCs w:val="20"/>
                <w:lang w:val="en-US"/>
              </w:rPr>
              <w:t xml:space="preserve"> Publishing</w:t>
            </w:r>
            <w:proofErr w:type="gramStart"/>
            <w:r w:rsidRPr="00B96286">
              <w:rPr>
                <w:rFonts w:ascii="Arial" w:eastAsia="Times New Roman" w:hAnsi="Arial" w:cs="Arial"/>
                <w:sz w:val="20"/>
                <w:szCs w:val="20"/>
                <w:lang w:val="en-US"/>
              </w:rPr>
              <w:t>,2009</w:t>
            </w:r>
            <w:proofErr w:type="gramEnd"/>
            <w:r w:rsidRPr="00B96286">
              <w:rPr>
                <w:rFonts w:ascii="Arial" w:eastAsia="Times New Roman" w:hAnsi="Arial" w:cs="Arial"/>
                <w:sz w:val="20"/>
                <w:szCs w:val="20"/>
                <w:lang w:val="en-US"/>
              </w:rPr>
              <w:t>.</w:t>
            </w:r>
          </w:p>
          <w:p w:rsidR="00DC6624" w:rsidRPr="00B96286" w:rsidRDefault="00DC6624" w:rsidP="00DC6624">
            <w:pPr>
              <w:tabs>
                <w:tab w:val="left" w:pos="840"/>
              </w:tabs>
              <w:spacing w:after="0" w:line="240" w:lineRule="auto"/>
              <w:rPr>
                <w:rFonts w:ascii="Arial" w:eastAsia="Times New Roman" w:hAnsi="Arial" w:cs="Arial"/>
                <w:sz w:val="20"/>
                <w:szCs w:val="20"/>
              </w:rPr>
            </w:pPr>
            <w:proofErr w:type="spellStart"/>
            <w:r w:rsidRPr="00B96286">
              <w:rPr>
                <w:rFonts w:ascii="Arial" w:eastAsia="Times New Roman" w:hAnsi="Arial" w:cs="Arial"/>
                <w:sz w:val="20"/>
                <w:szCs w:val="20"/>
              </w:rPr>
              <w:t>Bruccoli</w:t>
            </w:r>
            <w:proofErr w:type="spellEnd"/>
            <w:r w:rsidRPr="00B96286">
              <w:rPr>
                <w:rFonts w:ascii="Arial" w:eastAsia="Times New Roman" w:hAnsi="Arial" w:cs="Arial"/>
                <w:sz w:val="20"/>
                <w:szCs w:val="20"/>
              </w:rPr>
              <w:t xml:space="preserve">, Matthew (ed.). </w:t>
            </w:r>
            <w:r w:rsidRPr="00B96286">
              <w:rPr>
                <w:rFonts w:ascii="Arial" w:eastAsia="Times New Roman" w:hAnsi="Arial" w:cs="Arial"/>
                <w:i/>
                <w:sz w:val="20"/>
                <w:szCs w:val="20"/>
              </w:rPr>
              <w:t xml:space="preserve">New Essays on </w:t>
            </w:r>
            <w:r w:rsidRPr="00B96286">
              <w:rPr>
                <w:rFonts w:ascii="Arial" w:eastAsia="Times New Roman" w:hAnsi="Arial" w:cs="Arial"/>
                <w:b/>
                <w:i/>
                <w:sz w:val="20"/>
                <w:szCs w:val="20"/>
              </w:rPr>
              <w:t>The Great Gatsby</w:t>
            </w:r>
            <w:r w:rsidRPr="00B96286">
              <w:rPr>
                <w:rFonts w:ascii="Arial" w:eastAsia="Times New Roman" w:hAnsi="Arial" w:cs="Arial"/>
                <w:sz w:val="20"/>
                <w:szCs w:val="20"/>
              </w:rPr>
              <w:t>, Cambridge/New York: Cambridge UP, 2002.</w:t>
            </w:r>
          </w:p>
          <w:p w:rsidR="00DC6624" w:rsidRPr="00B96286" w:rsidRDefault="00DC6624" w:rsidP="00DC6624">
            <w:pPr>
              <w:spacing w:after="0" w:line="240" w:lineRule="auto"/>
              <w:rPr>
                <w:rFonts w:ascii="Arial" w:eastAsia="Calibri" w:hAnsi="Arial" w:cs="Arial"/>
                <w:sz w:val="20"/>
                <w:szCs w:val="20"/>
                <w:lang w:val="en-US"/>
              </w:rPr>
            </w:pPr>
            <w:r w:rsidRPr="00B96286">
              <w:rPr>
                <w:rFonts w:ascii="Arial" w:eastAsia="Calibri" w:hAnsi="Arial" w:cs="Arial"/>
                <w:sz w:val="20"/>
                <w:szCs w:val="20"/>
                <w:lang w:val="en-US"/>
              </w:rPr>
              <w:t xml:space="preserve">Burnett, Mark Thornton &amp; Ramona Wray (eds.). </w:t>
            </w:r>
            <w:r w:rsidRPr="00B96286">
              <w:rPr>
                <w:rFonts w:ascii="Arial" w:eastAsia="Calibri" w:hAnsi="Arial" w:cs="Arial"/>
                <w:i/>
                <w:sz w:val="20"/>
                <w:szCs w:val="20"/>
                <w:lang w:val="en-US"/>
              </w:rPr>
              <w:t>Shakespeare, film, Fin de Siècle</w:t>
            </w:r>
            <w:r w:rsidRPr="00B96286">
              <w:rPr>
                <w:rFonts w:ascii="Arial" w:eastAsia="Calibri" w:hAnsi="Arial" w:cs="Arial"/>
                <w:sz w:val="20"/>
                <w:szCs w:val="20"/>
                <w:lang w:val="en-US"/>
              </w:rPr>
              <w:t xml:space="preserve">, </w:t>
            </w:r>
            <w:proofErr w:type="spellStart"/>
            <w:r w:rsidRPr="00B96286">
              <w:rPr>
                <w:rFonts w:ascii="Arial" w:eastAsia="Calibri" w:hAnsi="Arial" w:cs="Arial"/>
                <w:sz w:val="20"/>
                <w:szCs w:val="20"/>
                <w:lang w:val="en-US"/>
              </w:rPr>
              <w:t>Houndmills</w:t>
            </w:r>
            <w:proofErr w:type="spellEnd"/>
            <w:r w:rsidRPr="00B96286">
              <w:rPr>
                <w:rFonts w:ascii="Arial" w:eastAsia="Calibri" w:hAnsi="Arial" w:cs="Arial"/>
                <w:sz w:val="20"/>
                <w:szCs w:val="20"/>
                <w:lang w:val="en-US"/>
              </w:rPr>
              <w:t>, Basingstoke/London: Macmillan, 2000.</w:t>
            </w:r>
          </w:p>
          <w:p w:rsidR="00DC6624" w:rsidRPr="00B96286" w:rsidRDefault="00DC6624" w:rsidP="00DC6624">
            <w:pPr>
              <w:spacing w:after="0" w:line="240" w:lineRule="auto"/>
              <w:rPr>
                <w:rFonts w:ascii="Arial" w:hAnsi="Arial" w:cs="Arial"/>
                <w:sz w:val="20"/>
                <w:szCs w:val="20"/>
              </w:rPr>
            </w:pPr>
            <w:r w:rsidRPr="00B96286">
              <w:rPr>
                <w:rFonts w:ascii="Arial" w:eastAsia="Calibri" w:hAnsi="Arial" w:cs="Arial"/>
                <w:sz w:val="20"/>
                <w:szCs w:val="20"/>
              </w:rPr>
              <w:t>Dixon</w:t>
            </w:r>
            <w:r w:rsidRPr="00B96286">
              <w:rPr>
                <w:rFonts w:ascii="Arial" w:hAnsi="Arial" w:cs="Arial"/>
                <w:sz w:val="20"/>
                <w:szCs w:val="20"/>
              </w:rPr>
              <w:t xml:space="preserve">, </w:t>
            </w:r>
            <w:r w:rsidRPr="00B96286">
              <w:rPr>
                <w:rFonts w:ascii="Arial" w:eastAsia="Calibri" w:hAnsi="Arial" w:cs="Arial"/>
                <w:sz w:val="20"/>
                <w:szCs w:val="20"/>
              </w:rPr>
              <w:t xml:space="preserve">Wheeler Winston. </w:t>
            </w:r>
            <w:r w:rsidRPr="00B96286">
              <w:rPr>
                <w:rFonts w:ascii="Arial" w:hAnsi="Arial" w:cs="Arial"/>
                <w:sz w:val="20"/>
                <w:szCs w:val="20"/>
              </w:rPr>
              <w:t>“</w:t>
            </w:r>
            <w:r w:rsidRPr="00B96286">
              <w:rPr>
                <w:rFonts w:ascii="Arial" w:eastAsia="Calibri" w:hAnsi="Arial" w:cs="Arial"/>
                <w:sz w:val="20"/>
                <w:szCs w:val="20"/>
              </w:rPr>
              <w:t>The Three Film Versions of the Great Gatsby: a Vision Deferred</w:t>
            </w:r>
            <w:r w:rsidRPr="00B96286">
              <w:rPr>
                <w:rFonts w:ascii="Arial" w:hAnsi="Arial" w:cs="Arial"/>
                <w:sz w:val="20"/>
                <w:szCs w:val="20"/>
              </w:rPr>
              <w:t>”,</w:t>
            </w:r>
            <w:r w:rsidRPr="00B96286">
              <w:rPr>
                <w:rFonts w:ascii="Arial" w:eastAsia="Calibri" w:hAnsi="Arial" w:cs="Arial"/>
                <w:sz w:val="20"/>
                <w:szCs w:val="20"/>
              </w:rPr>
              <w:t xml:space="preserve"> </w:t>
            </w:r>
            <w:r w:rsidRPr="00B96286">
              <w:rPr>
                <w:rFonts w:ascii="Arial" w:eastAsia="Calibri" w:hAnsi="Arial" w:cs="Arial"/>
                <w:i/>
                <w:sz w:val="20"/>
                <w:szCs w:val="20"/>
              </w:rPr>
              <w:t>Literature/Film Quarterly</w:t>
            </w:r>
            <w:r w:rsidRPr="00B96286">
              <w:rPr>
                <w:rFonts w:ascii="Arial" w:eastAsia="Calibri" w:hAnsi="Arial" w:cs="Arial"/>
                <w:sz w:val="20"/>
                <w:szCs w:val="20"/>
              </w:rPr>
              <w:t xml:space="preserve">. Volume: 31. </w:t>
            </w:r>
            <w:r w:rsidRPr="00B96286">
              <w:rPr>
                <w:rFonts w:ascii="Arial" w:hAnsi="Arial" w:cs="Arial"/>
                <w:sz w:val="20"/>
                <w:szCs w:val="20"/>
              </w:rPr>
              <w:t>No. 4,</w:t>
            </w:r>
            <w:r w:rsidRPr="00B96286">
              <w:rPr>
                <w:rFonts w:ascii="Arial" w:eastAsia="Calibri" w:hAnsi="Arial" w:cs="Arial"/>
                <w:sz w:val="20"/>
                <w:szCs w:val="20"/>
              </w:rPr>
              <w:t xml:space="preserve"> 2003. </w:t>
            </w:r>
            <w:r w:rsidRPr="00B96286">
              <w:rPr>
                <w:rFonts w:ascii="Arial" w:hAnsi="Arial" w:cs="Arial"/>
                <w:sz w:val="20"/>
                <w:szCs w:val="20"/>
              </w:rPr>
              <w:t xml:space="preserve">p. </w:t>
            </w:r>
            <w:r w:rsidRPr="00B96286">
              <w:rPr>
                <w:rFonts w:ascii="Arial" w:eastAsia="Calibri" w:hAnsi="Arial" w:cs="Arial"/>
                <w:sz w:val="20"/>
                <w:szCs w:val="20"/>
              </w:rPr>
              <w:t>287</w:t>
            </w:r>
            <w:r w:rsidRPr="00B96286">
              <w:rPr>
                <w:rFonts w:ascii="Arial" w:hAnsi="Arial" w:cs="Arial"/>
                <w:sz w:val="20"/>
                <w:szCs w:val="20"/>
              </w:rPr>
              <w:t>+ (ProQuest)</w:t>
            </w:r>
          </w:p>
          <w:p w:rsidR="00DC6624" w:rsidRPr="00B96286" w:rsidRDefault="00DC6624" w:rsidP="00DC6624">
            <w:pPr>
              <w:spacing w:after="0" w:line="240" w:lineRule="auto"/>
              <w:rPr>
                <w:rFonts w:ascii="Arial" w:eastAsia="Times New Roman" w:hAnsi="Arial" w:cs="Arial"/>
                <w:bCs/>
                <w:sz w:val="20"/>
                <w:szCs w:val="20"/>
                <w:lang w:val="en-US"/>
              </w:rPr>
            </w:pPr>
            <w:r w:rsidRPr="00B96286">
              <w:rPr>
                <w:rFonts w:ascii="Arial" w:eastAsia="Times New Roman" w:hAnsi="Arial" w:cs="Arial"/>
                <w:bCs/>
                <w:sz w:val="20"/>
                <w:szCs w:val="20"/>
                <w:lang w:val="en-US"/>
              </w:rPr>
              <w:t xml:space="preserve">Leitch, Thomas. “Adaptation Studies at a Crossroads”, </w:t>
            </w:r>
            <w:r w:rsidRPr="00B96286">
              <w:rPr>
                <w:rFonts w:ascii="Arial" w:eastAsia="Times New Roman" w:hAnsi="Arial" w:cs="Arial"/>
                <w:i/>
                <w:iCs/>
                <w:sz w:val="20"/>
                <w:szCs w:val="20"/>
                <w:lang w:val="en-US"/>
              </w:rPr>
              <w:t xml:space="preserve">Adaptation </w:t>
            </w:r>
            <w:r w:rsidRPr="00B96286">
              <w:rPr>
                <w:rFonts w:ascii="Arial" w:eastAsia="Times New Roman" w:hAnsi="Arial" w:cs="Arial"/>
                <w:iCs/>
                <w:sz w:val="20"/>
                <w:szCs w:val="20"/>
                <w:lang w:val="en-US"/>
              </w:rPr>
              <w:t xml:space="preserve">(2008) 1 (1), pp. 63-77. </w:t>
            </w:r>
          </w:p>
          <w:p w:rsidR="00DC6624" w:rsidRPr="00B96286" w:rsidRDefault="00DC6624" w:rsidP="00DC6624">
            <w:pPr>
              <w:spacing w:after="0" w:line="240" w:lineRule="auto"/>
              <w:rPr>
                <w:rFonts w:ascii="Arial" w:eastAsia="Times New Roman" w:hAnsi="Arial" w:cs="Arial"/>
                <w:sz w:val="20"/>
                <w:szCs w:val="20"/>
                <w:lang w:val="ro-RO"/>
              </w:rPr>
            </w:pPr>
            <w:r w:rsidRPr="00B96286">
              <w:rPr>
                <w:rFonts w:ascii="Arial" w:eastAsia="Times New Roman" w:hAnsi="Arial" w:cs="Arial"/>
                <w:sz w:val="20"/>
                <w:szCs w:val="20"/>
                <w:lang w:val="ro-RO"/>
              </w:rPr>
              <w:t xml:space="preserve">Hutcheon, Linda - </w:t>
            </w:r>
            <w:r w:rsidRPr="00B96286">
              <w:rPr>
                <w:rFonts w:ascii="Arial" w:eastAsia="Times New Roman" w:hAnsi="Arial" w:cs="Arial"/>
                <w:i/>
                <w:sz w:val="20"/>
                <w:szCs w:val="20"/>
                <w:lang w:val="ro-RO"/>
              </w:rPr>
              <w:t>A Theory of Adaptation</w:t>
            </w:r>
            <w:r w:rsidRPr="00B96286">
              <w:rPr>
                <w:rFonts w:ascii="Arial" w:eastAsia="Times New Roman" w:hAnsi="Arial" w:cs="Arial"/>
                <w:sz w:val="20"/>
                <w:szCs w:val="20"/>
                <w:lang w:val="ro-RO"/>
              </w:rPr>
              <w:t>, New York/London: Routledge, 2012 (2006).</w:t>
            </w:r>
          </w:p>
          <w:p w:rsidR="00DC6624" w:rsidRPr="00B96286" w:rsidRDefault="00DC6624" w:rsidP="00DC6624">
            <w:pPr>
              <w:tabs>
                <w:tab w:val="left" w:pos="840"/>
              </w:tabs>
              <w:spacing w:after="0" w:line="240" w:lineRule="auto"/>
              <w:rPr>
                <w:rFonts w:ascii="Arial" w:eastAsia="Times New Roman" w:hAnsi="Arial" w:cs="Arial"/>
                <w:sz w:val="20"/>
                <w:szCs w:val="20"/>
              </w:rPr>
            </w:pPr>
            <w:r w:rsidRPr="00B96286">
              <w:rPr>
                <w:rFonts w:ascii="Arial" w:eastAsia="Times New Roman" w:hAnsi="Arial" w:cs="Arial"/>
                <w:sz w:val="20"/>
                <w:szCs w:val="20"/>
              </w:rPr>
              <w:t xml:space="preserve">Nixon, Cheryl L. </w:t>
            </w:r>
            <w:r w:rsidRPr="00B96286">
              <w:rPr>
                <w:rFonts w:ascii="Arial" w:hAnsi="Arial" w:cs="Arial"/>
                <w:sz w:val="20"/>
                <w:szCs w:val="20"/>
              </w:rPr>
              <w:t>“</w:t>
            </w:r>
            <w:r w:rsidRPr="00B96286">
              <w:rPr>
                <w:rFonts w:ascii="Arial" w:eastAsia="Times New Roman" w:hAnsi="Arial" w:cs="Arial"/>
                <w:sz w:val="20"/>
                <w:szCs w:val="20"/>
              </w:rPr>
              <w:t>Balancing the Courtship Hero. Masculine Emotional Display in Film Adaptations of Austen’s Novels,</w:t>
            </w:r>
            <w:r w:rsidRPr="00B96286">
              <w:rPr>
                <w:rFonts w:ascii="Arial" w:hAnsi="Arial" w:cs="Arial"/>
                <w:sz w:val="20"/>
                <w:szCs w:val="20"/>
              </w:rPr>
              <w:t xml:space="preserve">” </w:t>
            </w:r>
            <w:r w:rsidRPr="00B96286">
              <w:rPr>
                <w:rFonts w:ascii="Arial" w:hAnsi="Arial" w:cs="Arial"/>
                <w:i/>
                <w:sz w:val="20"/>
                <w:szCs w:val="20"/>
              </w:rPr>
              <w:t>Jane Austen in Hollywood</w:t>
            </w:r>
            <w:r w:rsidRPr="00B96286">
              <w:rPr>
                <w:rFonts w:ascii="Arial" w:hAnsi="Arial" w:cs="Arial"/>
                <w:sz w:val="20"/>
                <w:szCs w:val="20"/>
              </w:rPr>
              <w:t xml:space="preserve">, </w:t>
            </w:r>
            <w:proofErr w:type="spellStart"/>
            <w:r w:rsidRPr="00B96286">
              <w:rPr>
                <w:rFonts w:ascii="Arial" w:hAnsi="Arial" w:cs="Arial"/>
                <w:sz w:val="20"/>
                <w:szCs w:val="20"/>
              </w:rPr>
              <w:t>Troost</w:t>
            </w:r>
            <w:proofErr w:type="spellEnd"/>
            <w:r w:rsidRPr="00B96286">
              <w:rPr>
                <w:rFonts w:ascii="Arial" w:hAnsi="Arial" w:cs="Arial"/>
                <w:sz w:val="20"/>
                <w:szCs w:val="20"/>
              </w:rPr>
              <w:t>, Linda, Sayre Green (ed.), The University Press of Kentucky, 1998, pp. 22-43.</w:t>
            </w:r>
          </w:p>
          <w:p w:rsidR="00115823" w:rsidRPr="00DC6624" w:rsidRDefault="00DC6624" w:rsidP="00DC6624">
            <w:pPr>
              <w:spacing w:after="0" w:line="240" w:lineRule="auto"/>
              <w:rPr>
                <w:rFonts w:ascii="Arial" w:hAnsi="Arial" w:cs="Arial"/>
                <w:color w:val="231F20"/>
                <w:sz w:val="20"/>
                <w:szCs w:val="20"/>
              </w:rPr>
            </w:pPr>
            <w:r w:rsidRPr="00B96286">
              <w:rPr>
                <w:rFonts w:ascii="Arial" w:hAnsi="Arial" w:cs="Arial"/>
                <w:color w:val="231F20"/>
                <w:sz w:val="20"/>
                <w:szCs w:val="20"/>
              </w:rPr>
              <w:t xml:space="preserve">Sanders, Julie. </w:t>
            </w:r>
            <w:r w:rsidRPr="00B96286">
              <w:rPr>
                <w:rFonts w:ascii="Arial" w:hAnsi="Arial" w:cs="Arial"/>
                <w:i/>
                <w:color w:val="231F20"/>
                <w:sz w:val="20"/>
                <w:szCs w:val="20"/>
              </w:rPr>
              <w:t>Adaptation and Appropriation</w:t>
            </w:r>
            <w:r w:rsidRPr="00B96286">
              <w:rPr>
                <w:rFonts w:ascii="Arial" w:hAnsi="Arial" w:cs="Arial"/>
                <w:color w:val="231F20"/>
                <w:sz w:val="20"/>
                <w:szCs w:val="20"/>
              </w:rPr>
              <w:t xml:space="preserve"> (The New Critical Idiom), Oxon: Routledge, 2006.</w:t>
            </w:r>
          </w:p>
        </w:tc>
      </w:tr>
      <w:tr w:rsidR="00115823" w:rsidRPr="0012336F" w:rsidTr="00F15F7D">
        <w:tc>
          <w:tcPr>
            <w:tcW w:w="562" w:type="dxa"/>
            <w:shd w:val="clear" w:color="auto" w:fill="A6A6A6" w:themeFill="background1" w:themeFillShade="A6"/>
          </w:tcPr>
          <w:p w:rsidR="00115823" w:rsidRPr="0012336F" w:rsidRDefault="00115823" w:rsidP="00F15F7D">
            <w:pPr>
              <w:spacing w:after="0" w:line="240" w:lineRule="auto"/>
              <w:rPr>
                <w:rStyle w:val="SubtleReference"/>
                <w:rFonts w:cstheme="minorHAnsi"/>
                <w:color w:val="FFFFFF" w:themeColor="background1"/>
                <w:lang w:val="ro-RO"/>
              </w:rPr>
            </w:pPr>
            <w:r w:rsidRPr="0012336F">
              <w:rPr>
                <w:rStyle w:val="SubtleReference"/>
                <w:rFonts w:cstheme="minorHAnsi"/>
                <w:color w:val="FFFFFF" w:themeColor="background1"/>
                <w:lang w:val="ro-RO"/>
              </w:rPr>
              <w:t>E</w:t>
            </w:r>
          </w:p>
        </w:tc>
        <w:tc>
          <w:tcPr>
            <w:tcW w:w="8647" w:type="dxa"/>
            <w:gridSpan w:val="2"/>
            <w:shd w:val="clear" w:color="auto" w:fill="A6A6A6" w:themeFill="background1" w:themeFillShade="A6"/>
          </w:tcPr>
          <w:p w:rsidR="00115823" w:rsidRPr="0012336F" w:rsidRDefault="00115823" w:rsidP="00F15F7D">
            <w:pPr>
              <w:spacing w:after="0" w:line="240" w:lineRule="auto"/>
              <w:jc w:val="both"/>
              <w:rPr>
                <w:rFonts w:cstheme="minorHAnsi"/>
                <w:b/>
                <w:color w:val="FFFFFF" w:themeColor="background1"/>
                <w:lang w:val="ro-RO"/>
              </w:rPr>
            </w:pPr>
            <w:r w:rsidRPr="0012336F">
              <w:rPr>
                <w:rStyle w:val="SubtleReference"/>
                <w:rFonts w:cstheme="minorHAnsi"/>
                <w:b/>
                <w:color w:val="FFFFFF" w:themeColor="background1"/>
                <w:lang w:val="ro-RO"/>
              </w:rPr>
              <w:t>Seminar content</w:t>
            </w:r>
          </w:p>
        </w:tc>
      </w:tr>
      <w:tr w:rsidR="00115823" w:rsidRPr="0012336F" w:rsidTr="00F15F7D">
        <w:tc>
          <w:tcPr>
            <w:tcW w:w="562" w:type="dxa"/>
            <w:shd w:val="clear" w:color="auto" w:fill="F2F2F2" w:themeFill="background1" w:themeFillShade="F2"/>
          </w:tcPr>
          <w:p w:rsidR="00115823" w:rsidRPr="0012336F" w:rsidRDefault="00115823" w:rsidP="00F15F7D">
            <w:pPr>
              <w:spacing w:after="0" w:line="240" w:lineRule="auto"/>
              <w:rPr>
                <w:rStyle w:val="SubtleReference"/>
                <w:rFonts w:cstheme="minorHAnsi"/>
                <w:lang w:val="ro-RO"/>
              </w:rPr>
            </w:pPr>
          </w:p>
        </w:tc>
        <w:tc>
          <w:tcPr>
            <w:tcW w:w="8647" w:type="dxa"/>
            <w:gridSpan w:val="2"/>
            <w:shd w:val="clear" w:color="auto" w:fill="F2F2F2" w:themeFill="background1" w:themeFillShade="F2"/>
          </w:tcPr>
          <w:p w:rsidR="00115823" w:rsidRPr="0012336F" w:rsidRDefault="00115823" w:rsidP="00F15F7D">
            <w:pPr>
              <w:ind w:left="777" w:firstLine="663"/>
              <w:rPr>
                <w:rFonts w:eastAsia="Times New Roman" w:cstheme="minorHAnsi"/>
                <w:lang w:val="en-US"/>
              </w:rPr>
            </w:pPr>
          </w:p>
          <w:p w:rsidR="00115823" w:rsidRPr="0012336F" w:rsidRDefault="00DC6624" w:rsidP="00F15F7D">
            <w:pPr>
              <w:spacing w:line="240" w:lineRule="auto"/>
              <w:rPr>
                <w:rFonts w:eastAsia="Times New Roman" w:cstheme="minorHAnsi"/>
                <w:lang w:val="en-US"/>
              </w:rPr>
            </w:pPr>
            <w:r>
              <w:rPr>
                <w:rFonts w:eastAsia="Times New Roman" w:cstheme="minorHAnsi"/>
                <w:lang w:val="it-IT"/>
              </w:rPr>
              <w:t>n/a</w:t>
            </w:r>
          </w:p>
          <w:p w:rsidR="00115823" w:rsidRPr="0012336F" w:rsidRDefault="00115823" w:rsidP="00F15F7D">
            <w:pPr>
              <w:spacing w:after="0"/>
              <w:ind w:firstLine="720"/>
              <w:jc w:val="both"/>
              <w:rPr>
                <w:rFonts w:cstheme="minorHAnsi"/>
              </w:rPr>
            </w:pPr>
          </w:p>
        </w:tc>
      </w:tr>
      <w:tr w:rsidR="00115823" w:rsidRPr="0012336F" w:rsidTr="00F15F7D">
        <w:tc>
          <w:tcPr>
            <w:tcW w:w="562" w:type="dxa"/>
            <w:shd w:val="clear" w:color="auto" w:fill="A6A6A6" w:themeFill="background1" w:themeFillShade="A6"/>
          </w:tcPr>
          <w:p w:rsidR="00115823" w:rsidRPr="0012336F" w:rsidRDefault="00115823" w:rsidP="00F15F7D">
            <w:pPr>
              <w:spacing w:after="0" w:line="240" w:lineRule="auto"/>
              <w:rPr>
                <w:rStyle w:val="SubtleReference"/>
                <w:rFonts w:cstheme="minorHAnsi"/>
                <w:color w:val="FFFFFF" w:themeColor="background1"/>
                <w:lang w:val="ro-RO"/>
              </w:rPr>
            </w:pPr>
            <w:r w:rsidRPr="0012336F">
              <w:rPr>
                <w:rStyle w:val="SubtleReference"/>
                <w:rFonts w:cstheme="minorHAnsi"/>
                <w:color w:val="FFFFFF" w:themeColor="background1"/>
                <w:lang w:val="ro-RO"/>
              </w:rPr>
              <w:t>F</w:t>
            </w:r>
          </w:p>
        </w:tc>
        <w:tc>
          <w:tcPr>
            <w:tcW w:w="8647" w:type="dxa"/>
            <w:gridSpan w:val="2"/>
            <w:shd w:val="clear" w:color="auto" w:fill="A6A6A6" w:themeFill="background1" w:themeFillShade="A6"/>
          </w:tcPr>
          <w:p w:rsidR="00115823" w:rsidRPr="0012336F" w:rsidRDefault="00115823" w:rsidP="00F15F7D">
            <w:pPr>
              <w:spacing w:after="0" w:line="240" w:lineRule="auto"/>
              <w:jc w:val="both"/>
              <w:rPr>
                <w:rFonts w:cstheme="minorHAnsi"/>
                <w:b/>
                <w:color w:val="FFFFFF" w:themeColor="background1"/>
                <w:lang w:val="ro-RO"/>
              </w:rPr>
            </w:pPr>
            <w:r w:rsidRPr="0012336F">
              <w:rPr>
                <w:rStyle w:val="SubtleReference"/>
                <w:rFonts w:cstheme="minorHAnsi"/>
                <w:b/>
                <w:color w:val="FFFFFF" w:themeColor="background1"/>
                <w:lang w:val="ro-RO"/>
              </w:rPr>
              <w:t>Recommended reading for seminars</w:t>
            </w:r>
          </w:p>
        </w:tc>
      </w:tr>
      <w:tr w:rsidR="00115823" w:rsidRPr="0012336F" w:rsidTr="00F15F7D">
        <w:tc>
          <w:tcPr>
            <w:tcW w:w="562" w:type="dxa"/>
            <w:shd w:val="clear" w:color="auto" w:fill="F2F2F2" w:themeFill="background1" w:themeFillShade="F2"/>
          </w:tcPr>
          <w:p w:rsidR="00115823" w:rsidRPr="0012336F" w:rsidRDefault="00115823" w:rsidP="00F15F7D">
            <w:pPr>
              <w:spacing w:after="0" w:line="240" w:lineRule="auto"/>
              <w:rPr>
                <w:rStyle w:val="SubtleReference"/>
                <w:rFonts w:cstheme="minorHAnsi"/>
                <w:lang w:val="ro-RO"/>
              </w:rPr>
            </w:pPr>
          </w:p>
        </w:tc>
        <w:tc>
          <w:tcPr>
            <w:tcW w:w="8647" w:type="dxa"/>
            <w:gridSpan w:val="2"/>
            <w:shd w:val="clear" w:color="auto" w:fill="F2F2F2" w:themeFill="background1" w:themeFillShade="F2"/>
          </w:tcPr>
          <w:p w:rsidR="00115823" w:rsidRPr="0012336F" w:rsidRDefault="00115823" w:rsidP="00DC6624">
            <w:pPr>
              <w:spacing w:after="0" w:line="240" w:lineRule="auto"/>
              <w:rPr>
                <w:rFonts w:cstheme="minorHAnsi"/>
                <w:lang w:val="ro-RO"/>
              </w:rPr>
            </w:pPr>
          </w:p>
        </w:tc>
      </w:tr>
      <w:tr w:rsidR="00115823" w:rsidRPr="0012336F" w:rsidTr="00F15F7D">
        <w:tc>
          <w:tcPr>
            <w:tcW w:w="562" w:type="dxa"/>
            <w:shd w:val="clear" w:color="auto" w:fill="A6A6A6" w:themeFill="background1" w:themeFillShade="A6"/>
          </w:tcPr>
          <w:p w:rsidR="00115823" w:rsidRPr="0012336F" w:rsidRDefault="00115823" w:rsidP="00F15F7D">
            <w:pPr>
              <w:spacing w:after="0" w:line="240" w:lineRule="auto"/>
              <w:rPr>
                <w:rStyle w:val="SubtleReference"/>
                <w:rFonts w:cstheme="minorHAnsi"/>
                <w:color w:val="FFFFFF" w:themeColor="background1"/>
                <w:lang w:val="ro-RO"/>
              </w:rPr>
            </w:pPr>
            <w:r w:rsidRPr="0012336F">
              <w:rPr>
                <w:rStyle w:val="SubtleReference"/>
                <w:rFonts w:cstheme="minorHAnsi"/>
                <w:color w:val="FFFFFF" w:themeColor="background1"/>
                <w:lang w:val="ro-RO"/>
              </w:rPr>
              <w:t>G</w:t>
            </w:r>
          </w:p>
        </w:tc>
        <w:tc>
          <w:tcPr>
            <w:tcW w:w="8647" w:type="dxa"/>
            <w:gridSpan w:val="2"/>
            <w:shd w:val="clear" w:color="auto" w:fill="A6A6A6" w:themeFill="background1" w:themeFillShade="A6"/>
          </w:tcPr>
          <w:p w:rsidR="00115823" w:rsidRPr="0012336F" w:rsidRDefault="00115823" w:rsidP="00F15F7D">
            <w:pPr>
              <w:spacing w:after="0" w:line="240" w:lineRule="auto"/>
              <w:jc w:val="both"/>
              <w:rPr>
                <w:rStyle w:val="SubtleReference"/>
                <w:rFonts w:cstheme="minorHAnsi"/>
                <w:b/>
                <w:color w:val="FFFFFF" w:themeColor="background1"/>
              </w:rPr>
            </w:pPr>
            <w:r w:rsidRPr="0012336F">
              <w:rPr>
                <w:rStyle w:val="SubtleReference"/>
                <w:rFonts w:cstheme="minorHAnsi"/>
                <w:b/>
                <w:color w:val="FFFFFF" w:themeColor="background1"/>
              </w:rPr>
              <w:t>Education style</w:t>
            </w:r>
          </w:p>
        </w:tc>
      </w:tr>
      <w:tr w:rsidR="00115823" w:rsidRPr="0012336F" w:rsidTr="00F15F7D">
        <w:tc>
          <w:tcPr>
            <w:tcW w:w="2972" w:type="dxa"/>
            <w:gridSpan w:val="2"/>
            <w:shd w:val="clear" w:color="auto" w:fill="F2F2F2" w:themeFill="background1" w:themeFillShade="F2"/>
          </w:tcPr>
          <w:p w:rsidR="00115823" w:rsidRPr="0012336F" w:rsidRDefault="00115823" w:rsidP="00F15F7D">
            <w:pPr>
              <w:spacing w:after="0" w:line="240" w:lineRule="auto"/>
              <w:rPr>
                <w:rStyle w:val="SubtleReference"/>
                <w:rFonts w:cstheme="minorHAnsi"/>
                <w:color w:val="000000" w:themeColor="text1"/>
                <w:lang w:val="ro-RO"/>
              </w:rPr>
            </w:pPr>
            <w:r w:rsidRPr="0012336F">
              <w:rPr>
                <w:rStyle w:val="SubtleReference"/>
                <w:rFonts w:cstheme="minorHAnsi"/>
                <w:color w:val="000000" w:themeColor="text1"/>
                <w:lang w:val="ro-RO"/>
              </w:rPr>
              <w:t>learning and teaching methods</w:t>
            </w:r>
          </w:p>
        </w:tc>
        <w:tc>
          <w:tcPr>
            <w:tcW w:w="6237" w:type="dxa"/>
            <w:shd w:val="clear" w:color="auto" w:fill="F2F2F2" w:themeFill="background1" w:themeFillShade="F2"/>
          </w:tcPr>
          <w:p w:rsidR="00115823" w:rsidRPr="0012336F" w:rsidRDefault="00115823" w:rsidP="00F15F7D">
            <w:pPr>
              <w:spacing w:after="0" w:line="240" w:lineRule="auto"/>
              <w:jc w:val="both"/>
              <w:rPr>
                <w:rFonts w:cstheme="minorHAnsi"/>
                <w:color w:val="000000" w:themeColor="text1"/>
                <w:lang w:val="ro-RO"/>
              </w:rPr>
            </w:pPr>
            <w:r w:rsidRPr="0012336F">
              <w:rPr>
                <w:rFonts w:cstheme="minorHAnsi"/>
                <w:color w:val="000000" w:themeColor="text1"/>
                <w:lang w:val="ro-RO"/>
              </w:rPr>
              <w:t>Frontal teaching,</w:t>
            </w:r>
            <w:r>
              <w:rPr>
                <w:rFonts w:cstheme="minorHAnsi"/>
                <w:color w:val="000000" w:themeColor="text1"/>
                <w:lang w:val="ro-RO"/>
              </w:rPr>
              <w:t xml:space="preserve"> in-class screenings,</w:t>
            </w:r>
            <w:r w:rsidRPr="0012336F">
              <w:rPr>
                <w:rFonts w:cstheme="minorHAnsi"/>
                <w:color w:val="000000" w:themeColor="text1"/>
                <w:lang w:val="ro-RO"/>
              </w:rPr>
              <w:t xml:space="preserve"> class discussions; individual study</w:t>
            </w:r>
          </w:p>
        </w:tc>
      </w:tr>
      <w:tr w:rsidR="00115823" w:rsidRPr="0012336F" w:rsidTr="00F15F7D">
        <w:tc>
          <w:tcPr>
            <w:tcW w:w="2972" w:type="dxa"/>
            <w:gridSpan w:val="2"/>
            <w:shd w:val="clear" w:color="auto" w:fill="F2F2F2" w:themeFill="background1" w:themeFillShade="F2"/>
          </w:tcPr>
          <w:p w:rsidR="00115823" w:rsidRPr="0012336F" w:rsidRDefault="00115823" w:rsidP="00F15F7D">
            <w:pPr>
              <w:spacing w:after="0" w:line="240" w:lineRule="auto"/>
              <w:rPr>
                <w:rStyle w:val="SubtleReference"/>
                <w:rFonts w:cstheme="minorHAnsi"/>
                <w:color w:val="000000" w:themeColor="text1"/>
                <w:lang w:val="ro-RO"/>
              </w:rPr>
            </w:pPr>
            <w:r w:rsidRPr="0012336F">
              <w:rPr>
                <w:rStyle w:val="SubtleReference"/>
                <w:rFonts w:cstheme="minorHAnsi"/>
                <w:color w:val="000000" w:themeColor="text1"/>
                <w:lang w:val="ro-RO"/>
              </w:rPr>
              <w:t>assessment methods</w:t>
            </w:r>
          </w:p>
        </w:tc>
        <w:tc>
          <w:tcPr>
            <w:tcW w:w="6237" w:type="dxa"/>
            <w:shd w:val="clear" w:color="auto" w:fill="F2F2F2" w:themeFill="background1" w:themeFillShade="F2"/>
          </w:tcPr>
          <w:p w:rsidR="00115823" w:rsidRPr="0012336F" w:rsidRDefault="00115823" w:rsidP="00DC6624">
            <w:pPr>
              <w:spacing w:after="0" w:line="240" w:lineRule="auto"/>
              <w:rPr>
                <w:rFonts w:cstheme="minorHAnsi"/>
                <w:color w:val="000000" w:themeColor="text1"/>
                <w:lang w:val="fr-FR"/>
              </w:rPr>
            </w:pPr>
            <w:r>
              <w:rPr>
                <w:rFonts w:cstheme="minorHAnsi"/>
                <w:color w:val="000000" w:themeColor="text1"/>
                <w:lang w:val="fr-FR"/>
              </w:rPr>
              <w:t xml:space="preserve">Class participation </w:t>
            </w:r>
            <w:r w:rsidRPr="0012336F">
              <w:rPr>
                <w:rFonts w:cstheme="minorHAnsi"/>
                <w:color w:val="000000" w:themeColor="text1"/>
                <w:lang w:val="fr-FR"/>
              </w:rPr>
              <w:t>(</w:t>
            </w:r>
            <w:r w:rsidR="00DC6624">
              <w:rPr>
                <w:rFonts w:cstheme="minorHAnsi"/>
                <w:color w:val="000000" w:themeColor="text1"/>
                <w:lang w:val="fr-FR"/>
              </w:rPr>
              <w:t xml:space="preserve">25 %) + </w:t>
            </w:r>
            <w:proofErr w:type="spellStart"/>
            <w:r w:rsidR="00DC6624">
              <w:rPr>
                <w:rFonts w:cstheme="minorHAnsi"/>
                <w:color w:val="000000" w:themeColor="text1"/>
                <w:lang w:val="fr-FR"/>
              </w:rPr>
              <w:t>written</w:t>
            </w:r>
            <w:proofErr w:type="spellEnd"/>
            <w:r w:rsidR="00DC6624">
              <w:rPr>
                <w:rFonts w:cstheme="minorHAnsi"/>
                <w:color w:val="000000" w:themeColor="text1"/>
                <w:lang w:val="fr-FR"/>
              </w:rPr>
              <w:t xml:space="preserve"> exam (75</w:t>
            </w:r>
            <w:r w:rsidRPr="0012336F">
              <w:rPr>
                <w:rFonts w:cstheme="minorHAnsi"/>
                <w:color w:val="000000" w:themeColor="text1"/>
                <w:lang w:val="fr-FR"/>
              </w:rPr>
              <w:t>%)</w:t>
            </w:r>
          </w:p>
        </w:tc>
      </w:tr>
      <w:tr w:rsidR="00115823" w:rsidRPr="0012336F" w:rsidTr="00F15F7D">
        <w:tc>
          <w:tcPr>
            <w:tcW w:w="2972" w:type="dxa"/>
            <w:gridSpan w:val="2"/>
            <w:shd w:val="clear" w:color="auto" w:fill="F2F2F2" w:themeFill="background1" w:themeFillShade="F2"/>
          </w:tcPr>
          <w:p w:rsidR="00115823" w:rsidRPr="0012336F" w:rsidRDefault="00115823" w:rsidP="00F15F7D">
            <w:pPr>
              <w:spacing w:after="0" w:line="240" w:lineRule="auto"/>
              <w:rPr>
                <w:rStyle w:val="SubtleReference"/>
                <w:rFonts w:cstheme="minorHAnsi"/>
                <w:color w:val="000000" w:themeColor="text1"/>
                <w:lang w:val="ro-RO"/>
              </w:rPr>
            </w:pPr>
            <w:r w:rsidRPr="0012336F">
              <w:rPr>
                <w:rStyle w:val="SubtleReference"/>
                <w:rFonts w:cstheme="minorHAnsi"/>
                <w:color w:val="000000" w:themeColor="text1"/>
                <w:lang w:val="ro-RO"/>
              </w:rPr>
              <w:t>Language of instruction</w:t>
            </w:r>
          </w:p>
        </w:tc>
        <w:tc>
          <w:tcPr>
            <w:tcW w:w="6237" w:type="dxa"/>
            <w:shd w:val="clear" w:color="auto" w:fill="F2F2F2" w:themeFill="background1" w:themeFillShade="F2"/>
          </w:tcPr>
          <w:p w:rsidR="00115823" w:rsidRPr="0012336F" w:rsidRDefault="00115823" w:rsidP="00F15F7D">
            <w:pPr>
              <w:spacing w:after="0" w:line="240" w:lineRule="auto"/>
              <w:rPr>
                <w:rFonts w:cstheme="minorHAnsi"/>
                <w:color w:val="000000" w:themeColor="text1"/>
                <w:lang w:val="ro-RO"/>
              </w:rPr>
            </w:pPr>
            <w:r w:rsidRPr="0012336F">
              <w:rPr>
                <w:rFonts w:cstheme="minorHAnsi"/>
                <w:color w:val="000000" w:themeColor="text1"/>
                <w:lang w:val="ro-RO"/>
              </w:rPr>
              <w:t>English</w:t>
            </w:r>
          </w:p>
        </w:tc>
      </w:tr>
    </w:tbl>
    <w:p w:rsidR="00115823" w:rsidRPr="0012336F" w:rsidRDefault="00115823" w:rsidP="00115823">
      <w:pPr>
        <w:spacing w:after="0" w:line="240" w:lineRule="auto"/>
        <w:jc w:val="both"/>
        <w:rPr>
          <w:rStyle w:val="SubtleReference"/>
          <w:rFonts w:cstheme="minorHAnsi"/>
        </w:rPr>
      </w:pPr>
    </w:p>
    <w:p w:rsidR="00115823" w:rsidRPr="0012336F" w:rsidRDefault="00115823" w:rsidP="00115823">
      <w:pPr>
        <w:spacing w:after="0" w:line="240" w:lineRule="auto"/>
        <w:rPr>
          <w:rFonts w:cstheme="minorHAnsi"/>
        </w:rPr>
      </w:pPr>
    </w:p>
    <w:p w:rsidR="00115823" w:rsidRPr="0012336F" w:rsidRDefault="00115823" w:rsidP="00115823">
      <w:pPr>
        <w:spacing w:after="0"/>
        <w:rPr>
          <w:rFonts w:cstheme="minorHAnsi"/>
        </w:rPr>
      </w:pPr>
    </w:p>
    <w:p w:rsidR="00115823" w:rsidRPr="0012336F" w:rsidRDefault="00115823" w:rsidP="00115823">
      <w:pPr>
        <w:rPr>
          <w:rFonts w:cstheme="minorHAnsi"/>
        </w:rPr>
      </w:pPr>
    </w:p>
    <w:p w:rsidR="009F1963" w:rsidRDefault="009F1963"/>
    <w:sectPr w:rsidR="009F1963" w:rsidSect="00F2728B">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8E2082"/>
    <w:multiLevelType w:val="hybridMultilevel"/>
    <w:tmpl w:val="A080BCEA"/>
    <w:lvl w:ilvl="0" w:tplc="3F5868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5DE1D9C"/>
    <w:multiLevelType w:val="hybridMultilevel"/>
    <w:tmpl w:val="5C76A642"/>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15823"/>
    <w:rsid w:val="00115823"/>
    <w:rsid w:val="00172969"/>
    <w:rsid w:val="003A3EBA"/>
    <w:rsid w:val="00871CD2"/>
    <w:rsid w:val="009F1963"/>
    <w:rsid w:val="00A16FCD"/>
    <w:rsid w:val="00A73BAB"/>
    <w:rsid w:val="00DC6624"/>
    <w:rsid w:val="00E021F0"/>
    <w:rsid w:val="00EB3427"/>
    <w:rsid w:val="00F9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23"/>
    <w:pPr>
      <w:spacing w:after="160" w:line="259" w:lineRule="auto"/>
    </w:pPr>
    <w:rPr>
      <w:lang w:val="en-GB"/>
    </w:rPr>
  </w:style>
  <w:style w:type="paragraph" w:styleId="Heading5">
    <w:name w:val="heading 5"/>
    <w:basedOn w:val="Normal"/>
    <w:next w:val="Normal"/>
    <w:link w:val="Heading5Char"/>
    <w:uiPriority w:val="9"/>
    <w:unhideWhenUsed/>
    <w:qFormat/>
    <w:rsid w:val="00115823"/>
    <w:pPr>
      <w:keepNext/>
      <w:keepLines/>
      <w:spacing w:before="40" w:after="0" w:line="276"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15823"/>
    <w:rPr>
      <w:rFonts w:asciiTheme="majorHAnsi" w:eastAsiaTheme="majorEastAsia" w:hAnsiTheme="majorHAnsi" w:cstheme="majorBidi"/>
      <w:color w:val="365F91" w:themeColor="accent1" w:themeShade="BF"/>
      <w:lang w:val="en-GB"/>
    </w:rPr>
  </w:style>
  <w:style w:type="paragraph" w:styleId="ListParagraph">
    <w:name w:val="List Paragraph"/>
    <w:basedOn w:val="Normal"/>
    <w:uiPriority w:val="34"/>
    <w:qFormat/>
    <w:rsid w:val="00115823"/>
    <w:pPr>
      <w:spacing w:line="256" w:lineRule="auto"/>
      <w:ind w:left="720"/>
      <w:contextualSpacing/>
    </w:pPr>
  </w:style>
  <w:style w:type="table" w:styleId="TableGrid">
    <w:name w:val="Table Grid"/>
    <w:basedOn w:val="TableNormal"/>
    <w:uiPriority w:val="39"/>
    <w:rsid w:val="0011582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115823"/>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23"/>
    <w:pPr>
      <w:spacing w:after="160" w:line="259" w:lineRule="auto"/>
    </w:pPr>
    <w:rPr>
      <w:lang w:val="en-GB"/>
    </w:rPr>
  </w:style>
  <w:style w:type="paragraph" w:styleId="Heading5">
    <w:name w:val="heading 5"/>
    <w:basedOn w:val="Normal"/>
    <w:next w:val="Normal"/>
    <w:link w:val="Heading5Char"/>
    <w:uiPriority w:val="9"/>
    <w:unhideWhenUsed/>
    <w:qFormat/>
    <w:rsid w:val="00115823"/>
    <w:pPr>
      <w:keepNext/>
      <w:keepLines/>
      <w:spacing w:before="40" w:after="0" w:line="276"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15823"/>
    <w:rPr>
      <w:rFonts w:asciiTheme="majorHAnsi" w:eastAsiaTheme="majorEastAsia" w:hAnsiTheme="majorHAnsi" w:cstheme="majorBidi"/>
      <w:color w:val="365F91" w:themeColor="accent1" w:themeShade="BF"/>
      <w:lang w:val="en-GB"/>
    </w:rPr>
  </w:style>
  <w:style w:type="paragraph" w:styleId="ListParagraph">
    <w:name w:val="List Paragraph"/>
    <w:basedOn w:val="Normal"/>
    <w:uiPriority w:val="34"/>
    <w:qFormat/>
    <w:rsid w:val="00115823"/>
    <w:pPr>
      <w:spacing w:line="256" w:lineRule="auto"/>
      <w:ind w:left="720"/>
      <w:contextualSpacing/>
    </w:pPr>
  </w:style>
  <w:style w:type="table" w:styleId="TableGrid">
    <w:name w:val="Table Grid"/>
    <w:basedOn w:val="TableNormal"/>
    <w:uiPriority w:val="39"/>
    <w:rsid w:val="0011582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11582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1048</Words>
  <Characters>5999</Characters>
  <Application>Microsoft Office Word</Application>
  <DocSecurity>0</DocSecurity>
  <Lines>142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Sony</cp:lastModifiedBy>
  <cp:revision>8</cp:revision>
  <dcterms:created xsi:type="dcterms:W3CDTF">2020-02-04T21:06:00Z</dcterms:created>
  <dcterms:modified xsi:type="dcterms:W3CDTF">2020-02-10T09:14:00Z</dcterms:modified>
</cp:coreProperties>
</file>