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C9" w:rsidRPr="00057CB4" w:rsidRDefault="009C7AC9" w:rsidP="009C7AC9">
      <w:pPr>
        <w:jc w:val="center"/>
        <w:rPr>
          <w:rFonts w:ascii="Book Antiqua" w:hAnsi="Book Antiqua"/>
          <w:b/>
          <w:color w:val="C00000"/>
          <w:sz w:val="24"/>
          <w:szCs w:val="24"/>
          <w:lang w:val="en-US"/>
        </w:rPr>
      </w:pPr>
      <w:r w:rsidRPr="00057CB4">
        <w:rPr>
          <w:rFonts w:ascii="Book Antiqua" w:hAnsi="Book Antiqua"/>
          <w:b/>
          <w:color w:val="C00000"/>
          <w:sz w:val="24"/>
          <w:szCs w:val="24"/>
          <w:lang w:val="en-US"/>
        </w:rPr>
        <w:t>MASTER PROGRAMMES</w:t>
      </w:r>
      <w:r>
        <w:rPr>
          <w:rFonts w:ascii="Book Antiqua" w:hAnsi="Book Antiqua"/>
          <w:b/>
          <w:color w:val="C00000"/>
          <w:sz w:val="24"/>
          <w:szCs w:val="24"/>
          <w:lang w:val="en-US"/>
        </w:rPr>
        <w:t xml:space="preserve"> IN ENGLISH</w:t>
      </w:r>
    </w:p>
    <w:p w:rsidR="009C7AC9" w:rsidRPr="004B2336" w:rsidRDefault="009C7AC9" w:rsidP="009C7AC9">
      <w:pPr>
        <w:jc w:val="both"/>
        <w:rPr>
          <w:b/>
          <w:color w:val="C00000"/>
          <w:sz w:val="28"/>
          <w:szCs w:val="28"/>
          <w:lang w:val="en-US"/>
        </w:rPr>
      </w:pPr>
      <w:r w:rsidRPr="004B2336">
        <w:rPr>
          <w:b/>
          <w:color w:val="C00000"/>
          <w:sz w:val="28"/>
          <w:szCs w:val="28"/>
          <w:lang w:val="en-US"/>
        </w:rPr>
        <w:t>Strategic Human Resource Management in Europe</w:t>
      </w:r>
    </w:p>
    <w:p w:rsidR="009C7AC9" w:rsidRPr="004B2336" w:rsidRDefault="009C7AC9" w:rsidP="009C7AC9">
      <w:pPr>
        <w:rPr>
          <w:rFonts w:ascii="Book Antiqua" w:hAnsi="Book Antiqua" w:cs="Tahoma"/>
          <w:b/>
          <w:color w:val="000000" w:themeColor="text1"/>
          <w:sz w:val="24"/>
          <w:szCs w:val="24"/>
        </w:rPr>
      </w:pPr>
      <w:r w:rsidRPr="004B2336">
        <w:rPr>
          <w:rFonts w:ascii="Book Antiqua" w:hAnsi="Book Antiqua" w:cs="Tahoma"/>
          <w:b/>
          <w:color w:val="000000" w:themeColor="text1"/>
          <w:sz w:val="24"/>
          <w:szCs w:val="24"/>
        </w:rPr>
        <w:t>Curriculum – Academic Year 2019-2020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31"/>
        <w:gridCol w:w="1113"/>
        <w:gridCol w:w="395"/>
        <w:gridCol w:w="3400"/>
        <w:gridCol w:w="1111"/>
      </w:tblGrid>
      <w:tr w:rsidR="000E0E4C" w:rsidRPr="006E30E0" w:rsidTr="0050514B">
        <w:trPr>
          <w:tblHeader/>
        </w:trPr>
        <w:tc>
          <w:tcPr>
            <w:tcW w:w="2376" w:type="pct"/>
            <w:gridSpan w:val="2"/>
            <w:shd w:val="clear" w:color="auto" w:fill="C00000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First Year</w:t>
            </w:r>
          </w:p>
        </w:tc>
        <w:tc>
          <w:tcPr>
            <w:tcW w:w="211" w:type="pct"/>
            <w:shd w:val="clear" w:color="auto" w:fill="C00000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412" w:type="pct"/>
            <w:gridSpan w:val="2"/>
            <w:shd w:val="clear" w:color="auto" w:fill="C00000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FFFFFF" w:themeColor="background1"/>
                <w:sz w:val="24"/>
                <w:szCs w:val="24"/>
              </w:rPr>
              <w:t>Second Year</w:t>
            </w:r>
          </w:p>
        </w:tc>
      </w:tr>
      <w:tr w:rsidR="000E0E4C" w:rsidRPr="006E30E0" w:rsidTr="0050514B">
        <w:tc>
          <w:tcPr>
            <w:tcW w:w="2376" w:type="pct"/>
            <w:gridSpan w:val="2"/>
            <w:shd w:val="clear" w:color="auto" w:fill="FBE4D5" w:themeFill="accent2" w:themeFillTint="33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  <w:tc>
          <w:tcPr>
            <w:tcW w:w="211" w:type="pct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pct"/>
            <w:gridSpan w:val="2"/>
            <w:shd w:val="clear" w:color="auto" w:fill="FBE4D5" w:themeFill="accent2" w:themeFillTint="33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1</w:t>
            </w:r>
          </w:p>
        </w:tc>
      </w:tr>
      <w:tr w:rsidR="000E0E4C" w:rsidRPr="006E30E0" w:rsidTr="0050514B">
        <w:tc>
          <w:tcPr>
            <w:tcW w:w="1781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95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94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Business and Management Foundations in a European Context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Organizational</w:t>
            </w:r>
            <w:r w:rsidRPr="006E30E0">
              <w:rPr>
                <w:rFonts w:ascii="Book Antiqua" w:hAnsi="Book Antiqua" w:cs="Arial"/>
                <w:color w:val="000000"/>
              </w:rPr>
              <w:t xml:space="preserve"> and Group Dynamics  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Business Process Management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HRM and the Business Organisation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Psychological &amp; Sociological Aspects of HRM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Legal Aspects in International HRM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Employer Branding, Recruitment and Selection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Specialisation: HRM Region-Specifics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6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Empirical Social Research (part 1)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Region-Specific Labour and Social Law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Competency and Talent Management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Benchmarking and Comparative HR Studies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Performance Management &amp; Total Rewards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Empirical Social Research (part 2)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2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Comparative Law and Labour Law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Master Thesis : Conception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Basic Theories in HRM  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Self-Reflection and Inquiry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2376" w:type="pct"/>
            <w:gridSpan w:val="2"/>
            <w:shd w:val="clear" w:color="auto" w:fill="FBE4D5" w:themeFill="accent2" w:themeFillTint="33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  <w:tc>
          <w:tcPr>
            <w:tcW w:w="211" w:type="pct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412" w:type="pct"/>
            <w:gridSpan w:val="2"/>
            <w:shd w:val="clear" w:color="auto" w:fill="FBE4D5" w:themeFill="accent2" w:themeFillTint="33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  <w:r w:rsidRPr="006E30E0"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  <w:t>Semester 2</w:t>
            </w:r>
          </w:p>
        </w:tc>
      </w:tr>
      <w:tr w:rsidR="000E0E4C" w:rsidRPr="006E30E0" w:rsidTr="0050514B">
        <w:trPr>
          <w:trHeight w:val="350"/>
        </w:trPr>
        <w:tc>
          <w:tcPr>
            <w:tcW w:w="1781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95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A. Compulsory Courses</w:t>
            </w:r>
          </w:p>
        </w:tc>
        <w:tc>
          <w:tcPr>
            <w:tcW w:w="594" w:type="pct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  <w:r w:rsidRPr="006E30E0">
              <w:rPr>
                <w:rFonts w:ascii="Book Antiqua" w:hAnsi="Book Antiqua" w:cs="Arial"/>
                <w:b/>
                <w:color w:val="000000"/>
              </w:rPr>
              <w:t>ECTS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Organizational Strategy and HRM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Leadership and Motivation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International Project Management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Ethics and Academic Integrity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Project Seminar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Negotiation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Strategic Human Resource Planning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 xml:space="preserve">Change Management   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SHR Measurement Systems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Expatriate Management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4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Expatriate Management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Master Thesis Workshop: Supervision</w:t>
            </w: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10</w:t>
            </w: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Employee Communication and Participation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European Labour Law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Academic Writing in English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Empirical Social Research (part 2)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 w:rsidRPr="006E30E0">
              <w:rPr>
                <w:rFonts w:ascii="Book Antiqua" w:hAnsi="Book Antiqua" w:cs="Arial"/>
                <w:color w:val="000000"/>
              </w:rPr>
              <w:t>3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  <w:tr w:rsidR="000E0E4C" w:rsidRPr="006E30E0" w:rsidTr="0050514B">
        <w:tc>
          <w:tcPr>
            <w:tcW w:w="1781" w:type="pct"/>
            <w:shd w:val="clear" w:color="auto" w:fill="D9D9D9" w:themeFill="background1" w:themeFillShade="D9"/>
            <w:vAlign w:val="center"/>
          </w:tcPr>
          <w:p w:rsidR="000E0E4C" w:rsidRDefault="000E0E4C" w:rsidP="0050514B">
            <w:pPr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Organization and Group Dynamics</w:t>
            </w:r>
          </w:p>
        </w:tc>
        <w:tc>
          <w:tcPr>
            <w:tcW w:w="595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jc w:val="center"/>
              <w:rPr>
                <w:rFonts w:ascii="Book Antiqua" w:hAnsi="Book Antiqua" w:cs="Arial"/>
                <w:color w:val="000000"/>
              </w:rPr>
            </w:pPr>
            <w:r>
              <w:rPr>
                <w:rFonts w:ascii="Book Antiqua" w:hAnsi="Book Antiqua" w:cs="Arial"/>
                <w:color w:val="000000"/>
              </w:rPr>
              <w:t>2</w:t>
            </w:r>
          </w:p>
        </w:tc>
        <w:tc>
          <w:tcPr>
            <w:tcW w:w="211" w:type="pct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  <w:tc>
          <w:tcPr>
            <w:tcW w:w="594" w:type="pct"/>
            <w:shd w:val="clear" w:color="auto" w:fill="D9D9D9" w:themeFill="background1" w:themeFillShade="D9"/>
            <w:vAlign w:val="center"/>
          </w:tcPr>
          <w:p w:rsidR="000E0E4C" w:rsidRPr="006E30E0" w:rsidRDefault="000E0E4C" w:rsidP="0050514B">
            <w:pPr>
              <w:rPr>
                <w:rFonts w:ascii="Book Antiqua" w:hAnsi="Book Antiqua" w:cs="Arial"/>
                <w:b/>
                <w:color w:val="000000"/>
              </w:rPr>
            </w:pPr>
          </w:p>
        </w:tc>
      </w:tr>
    </w:tbl>
    <w:p w:rsidR="00D63B1E" w:rsidRDefault="00D63B1E">
      <w:bookmarkStart w:id="0" w:name="_GoBack"/>
      <w:bookmarkEnd w:id="0"/>
    </w:p>
    <w:sectPr w:rsidR="00D63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AC9"/>
    <w:rsid w:val="000E0E4C"/>
    <w:rsid w:val="009C7AC9"/>
    <w:rsid w:val="00C46946"/>
    <w:rsid w:val="00D6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6110"/>
  <w15:chartTrackingRefBased/>
  <w15:docId w15:val="{4AB9561B-D5F2-4C6C-861F-3D145F57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C9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C7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3</cp:revision>
  <dcterms:created xsi:type="dcterms:W3CDTF">2020-05-07T07:17:00Z</dcterms:created>
  <dcterms:modified xsi:type="dcterms:W3CDTF">2020-05-07T12:40:00Z</dcterms:modified>
</cp:coreProperties>
</file>