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Academic course description  – biostratigraphy and paleoecology. </w:t>
      </w: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Practical </w:t>
      </w: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Applications in hydrocarbon research 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master’s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Well geology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>s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t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st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Biostratigraphy and paleoecology. </w:t>
            </w: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Practical </w:t>
            </w: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Applications in hydrocarbon research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</w:rPr>
              <w:t>31120120010PM1211101</w:t>
            </w:r>
            <w:r>
              <w:rPr>
                <w:rFonts w:cs="Arial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cycle (</w:t>
            </w:r>
            <w:r>
              <w:rPr>
                <w:rFonts w:cs="Arial" w:ascii="Arial Narrow" w:hAnsi="Arial Narrow"/>
                <w:color w:val="CE181E"/>
                <w:lang w:val="en-US"/>
              </w:rPr>
              <w:t>maste</w:t>
            </w:r>
            <w:r>
              <w:rPr>
                <w:rFonts w:cs="Arial" w:ascii="Arial Narrow" w:hAnsi="Arial Narrow"/>
                <w:color w:val="FF0000"/>
                <w:lang w:val="en-US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st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8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ibuleac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ibuleac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 xml:space="preserve">Paleontology, Structural Geology, Sedimentary Petrology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Effectively using additional sources and assisted learning resources in order to devise a research paper on a topic pertaining to the academic discipline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Improving teamwork abilities within a research team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Using the index taxa from fossil assemblages for the relative dating of deposits from outcrops and wells (age, the identification of discontinuities, hardgrounds); using the faunal particularities of different regions as arguments for the tracing and evolution of paleogeographic provinces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Inferring the main characteristics of paleoenvironments based on the information provided by fossil assemblages (depth, salinity, currents etc.)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Correlating the biostratigraphic and paleoecological information with the lithological and technical data available for wells in order to characterize a structural unit (including reservoir rocks or source rocks)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   </w:t>
            </w:r>
            <w:r>
              <w:rPr>
                <w:rFonts w:cs="Arial" w:ascii="Arial Narrow" w:hAnsi="Arial Narrow"/>
                <w:lang w:val="en-US"/>
              </w:rPr>
              <w:t xml:space="preserve">Upon completing the discipline, students become capable of: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using index taxa for the correlation of deposits from outcrops and wells from structural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units with different tectonic regimes;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suggesting various types of biozones based on the fossil assemblages from outcrops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and wells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using the biostratigraphic and paleoecological significance of fossil assemblages in the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correlation of similar deposits from different structural units/provinces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identifying fossils with paleoecological significance and describing the main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characteristics of a paleoenvironment based on the fossil assemblages encountered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-35" w:hanging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statistically interpreting paleontological samples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5" w:type="dxa"/>
                <w:bottom w:w="55" w:type="dxa"/>
                <w:right w:w="55" w:type="dxa"/>
              </w:tblCellMar>
            </w:tblPr>
            <w:tblGrid>
              <w:gridCol w:w="2106"/>
              <w:gridCol w:w="2484"/>
              <w:gridCol w:w="1729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lecture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The appearance of life. Evolutionary theory versus creationism. Biodiversity and extinction in the history of life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Lecture-debate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The first organisms – Archaebacteria and Eubacteria (Warrawoona –Australia). Snowball Earth, Ediacara fauna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Cambrian – Paleogeography. “Small shelly fauna,” the fauna from Chengjiang (China) and the Burgess Shale (Canada).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Ordovician – Paleogeography. The adaptive radiation of the Ordovician. Events in the evolution of life (the Ordovician extinction).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Silurian – Paleogeography. Events in the evolution of life (e.g. the appearance of terrestrial life).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Lecture. Demonstration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Devonian  – Paleogeography. Events in the evolution of life.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>
                <w:trHeight w:val="1497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Carboniferous – Paleogeography.  The development of flora and fauna. Events in the evolution of life.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</w:t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Permian  –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Paleogeography. The Permian-Triassic mass extinction. Events in the evolution of life.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Lecture. Demonstration.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Jurassic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–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Paleogeography. Events in the evolution of life (minor extinctions).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Cretaceous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–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Paleogeography. The Cretaceous-Paleogene extinction. Events in the evolution of life (minor extinctions). Biozones and subdivisions 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Cenozoic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–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Paleogeography. Events in the evolution of life (minor extinctions). Biozones and subdivisions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Lecture-debate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5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Main references: </w:t>
            </w:r>
          </w:p>
          <w:p>
            <w:pPr>
              <w:pStyle w:val="Normal"/>
              <w:ind w:left="-138" w:hanging="0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 xml:space="preserve">Salvador. A. ( ed.),1994.International Stratigraphic Guide. </w:t>
            </w:r>
          </w:p>
          <w:p>
            <w:pPr>
              <w:pStyle w:val="ColorfulListAccent11"/>
              <w:ind w:lef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Ţibuleac P. Course </w:t>
            </w:r>
            <w:r>
              <w:rPr>
                <w:rFonts w:cs="Arial" w:ascii="Arial" w:hAnsi="Arial"/>
                <w:sz w:val="18"/>
                <w:szCs w:val="18"/>
              </w:rPr>
              <w:t>Notes</w:t>
            </w:r>
            <w:r>
              <w:rPr>
                <w:rFonts w:cs="Arial" w:ascii="Arial" w:hAnsi="Arial"/>
                <w:sz w:val="18"/>
                <w:szCs w:val="18"/>
              </w:rPr>
              <w:t xml:space="preserve">. </w:t>
            </w:r>
          </w:p>
          <w:p>
            <w:pPr>
              <w:pStyle w:val="ColorfulListAccent11"/>
              <w:ind w:left="720" w:hanging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ColorfulListAccent11"/>
              <w:ind w:left="57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Additional references: 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Benton, M. J. 2001. Biodiversity on land and sea. 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Geological Journal, </w:t>
            </w:r>
            <w:r>
              <w:rPr>
                <w:rFonts w:cs="Arial" w:ascii="Arial" w:hAnsi="Arial"/>
                <w:sz w:val="18"/>
                <w:szCs w:val="18"/>
              </w:rPr>
              <w:t>36: 211-230.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Brenchley, P. J., Harper, D. A. 1998. Palaeoecology: Ecosystems, Environments and Evolution. </w:t>
            </w:r>
            <w:r>
              <w:rPr>
                <w:rFonts w:cs="Arial" w:ascii="Arial" w:hAnsi="Arial"/>
                <w:i/>
                <w:sz w:val="18"/>
                <w:szCs w:val="18"/>
              </w:rPr>
              <w:t>Chapman &amp; Hall</w:t>
            </w:r>
            <w:r>
              <w:rPr>
                <w:rFonts w:cs="Arial" w:ascii="Arial" w:hAnsi="Arial"/>
                <w:sz w:val="18"/>
                <w:szCs w:val="18"/>
              </w:rPr>
              <w:t>, 402 pp.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Dhondt  A. V., Dieni, I. 1996. Synecology of an unusual Late Cretaceous inoceramid-spondylid association from northern Italy. </w:t>
            </w:r>
            <w:r>
              <w:rPr>
                <w:rFonts w:cs="Arial" w:ascii="Arial" w:hAnsi="Arial"/>
                <w:i/>
                <w:sz w:val="18"/>
                <w:szCs w:val="18"/>
              </w:rPr>
              <w:t>Ann. Muz. Civ. Rovereto</w:t>
            </w:r>
            <w:r>
              <w:rPr>
                <w:rFonts w:cs="Arial" w:ascii="Arial" w:hAnsi="Arial"/>
                <w:sz w:val="18"/>
                <w:szCs w:val="18"/>
              </w:rPr>
              <w:t>, 11(1995): 327-338.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Peter, A., A., Bottjer, D., J. (eds.) Taphonomy: Bias a process through time. </w:t>
            </w:r>
            <w:r>
              <w:rPr>
                <w:rFonts w:cs="Arial" w:ascii="Arial" w:hAnsi="Arial"/>
                <w:i/>
                <w:sz w:val="18"/>
                <w:szCs w:val="18"/>
              </w:rPr>
              <w:t>Topics in Geology</w:t>
            </w:r>
            <w:r>
              <w:rPr>
                <w:rFonts w:cs="Arial" w:ascii="Arial" w:hAnsi="Arial"/>
                <w:sz w:val="18"/>
                <w:szCs w:val="18"/>
              </w:rPr>
              <w:t>, vol. 32, chapter I, 17 pp.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Twitchett, R. J., Wignall, P. B., Benton, M., J. 2000. Discussion on Lazarus taxa and fossil abundance at times of biotic crisis. </w:t>
            </w:r>
            <w:r>
              <w:rPr>
                <w:rFonts w:cs="Arial" w:ascii="Arial" w:hAnsi="Arial"/>
                <w:i/>
                <w:sz w:val="18"/>
                <w:szCs w:val="18"/>
              </w:rPr>
              <w:t>Journal of the Geological Society</w:t>
            </w:r>
            <w:r>
              <w:rPr>
                <w:rFonts w:cs="Arial" w:ascii="Arial" w:hAnsi="Arial"/>
                <w:sz w:val="18"/>
                <w:szCs w:val="18"/>
              </w:rPr>
              <w:t>, London, 157: 511-512.</w:t>
            </w:r>
          </w:p>
          <w:p>
            <w:pPr>
              <w:pStyle w:val="TextBody"/>
              <w:spacing w:before="0" w:after="0"/>
              <w:ind w:left="180" w:hanging="270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ro-RO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ro-RO"/>
              </w:rPr>
              <w:t xml:space="preserve">Wright, N., Zahirovic, S. Müller, R., D., Seton, M. 2013. Towards community-driven paleogeoghraphic reconstructions: Integrating open-access paleogeographic and paleobiology data with plate tectonics.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0"/>
                <w:sz w:val="18"/>
                <w:szCs w:val="18"/>
                <w:lang w:val="ro-RO"/>
              </w:rPr>
              <w:t>Biogeosciences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ro-RO"/>
              </w:rPr>
              <w:t>, 10: 1529-1541.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tbl>
            <w:tblPr>
              <w:tblW w:w="843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1" w:type="dxa"/>
                <w:bottom w:w="55" w:type="dxa"/>
                <w:right w:w="55" w:type="dxa"/>
              </w:tblCellMar>
            </w:tblPr>
            <w:tblGrid>
              <w:gridCol w:w="2109"/>
              <w:gridCol w:w="2301"/>
              <w:gridCol w:w="1917"/>
              <w:gridCol w:w="2103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Week 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seminar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establishing of biostratigraphic units based on fossil assemblages. Index fossils and facies fossils. The International Stratigraphic Guide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, 1994.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The biostratigraphic description of a sector from a structural unit. 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Problematization 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4 hours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The analysis of macro- and micropaleontological samples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Application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Fieldwork (at Frasin, according to the agreement with S.C. Daflog SRL Mediaș or on the deposits of the Moldavian Platform)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8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Reconstructing paleoenvironments based on benthic foraminifera 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Using the planktonic/benthic foraminifera ratio in reconstructing paleoenvironments 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 Problematization.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Reconstructing paleoenvironments based on bryozoa 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 Problematization.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  <w:lang w:val="en-US" w:eastAsia="en-US"/>
                    </w:rPr>
                    <w:t>Reconstructing the sectors of carbonate platform based on fossil assemblages/bioclasts</w:t>
                  </w:r>
                </w:p>
              </w:tc>
              <w:tc>
                <w:tcPr>
                  <w:tcW w:w="19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 Problematization.</w:t>
                  </w:r>
                </w:p>
              </w:tc>
              <w:tc>
                <w:tcPr>
                  <w:tcW w:w="21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1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Barattolo, F., Pugliese, A., E. 1987. Il Mesozoico dell isola di Capri. </w:t>
            </w:r>
            <w:r>
              <w:rPr>
                <w:rFonts w:cs="Arial" w:ascii="Arial" w:hAnsi="Arial"/>
                <w:i/>
                <w:sz w:val="18"/>
                <w:szCs w:val="18"/>
              </w:rPr>
              <w:t>Academmia Pontaniana</w:t>
            </w:r>
            <w:r>
              <w:rPr>
                <w:rFonts w:cs="Arial" w:ascii="Arial" w:hAnsi="Arial"/>
                <w:sz w:val="18"/>
                <w:szCs w:val="18"/>
              </w:rPr>
              <w:t>, 172 p.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</w:rPr>
              <w:t>Fluegel, E. 2010. Microfacies of carbonate rocks.</w:t>
            </w:r>
            <w:r>
              <w:rPr>
                <w:rFonts w:cs="Times-Roman;Times New Roman" w:ascii="Times-Roman;Times New Roman" w:hAnsi="Times-Roman;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ro-RO"/>
              </w:rPr>
              <w:t>Springer Heidelberg Dordrecht London New York, 984 p.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Jones, R. W., Wonders, A. A. H., 1992. Benthic foraminifers and paleobathymetry of Barrow Group (Berriasian-Valanginian deltaic sequence, sites 76 and 763 Northwest shelf). </w:t>
            </w:r>
            <w:r>
              <w:rPr>
                <w:rFonts w:cs="Arial" w:ascii="Arial" w:hAnsi="Arial"/>
                <w:i/>
                <w:sz w:val="18"/>
                <w:szCs w:val="18"/>
              </w:rPr>
              <w:t>Proceedings of the Ocean Drilling Program, Scientific Results</w:t>
            </w:r>
            <w:r>
              <w:rPr>
                <w:rFonts w:cs="Arial" w:ascii="Arial" w:hAnsi="Arial"/>
                <w:sz w:val="18"/>
                <w:szCs w:val="18"/>
              </w:rPr>
              <w:t>, vol. 122.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Moissette P., Dulai, A., Escarguel, G., Kázmér, M., Müller, P., Saint Martin, J.-P., 2007. Mosaic of environments recorded by bryozoan faunas from the Middle Miocene of Hungary. </w:t>
            </w:r>
            <w:r>
              <w:rPr>
                <w:rFonts w:cs="Arial" w:ascii="Arial" w:hAnsi="Arial"/>
                <w:i/>
                <w:sz w:val="18"/>
                <w:szCs w:val="18"/>
              </w:rPr>
              <w:t>Paleogeography, Palaeoclimatology, Paleoecology,</w:t>
            </w:r>
            <w:r>
              <w:rPr>
                <w:rFonts w:cs="Arial" w:ascii="Arial" w:hAnsi="Arial"/>
                <w:sz w:val="18"/>
                <w:szCs w:val="18"/>
              </w:rPr>
              <w:t xml:space="preserve"> 252, 530-556.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 xml:space="preserve">Salvador. A. (ed.), 1994. International Stratigraphic Guide.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Lecture-debate, demonstration, application, problematization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Ora assessment and research paper (lecture) – 70%, practical assessment and portfolio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0"/>
    <w:family w:val="roman"/>
    <w:pitch w:val="variable"/>
  </w:font>
  <w:font w:name="Arial narrow">
    <w:charset w:val="01"/>
    <w:family w:val="swiss"/>
    <w:pitch w:val="default"/>
  </w:font>
  <w:font w:name="Aria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  <w:color w:val="000000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color w:val="00000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1587</TotalTime>
  <Application>LibreOffice/5.4.1.2$Windows_x86 LibreOffice_project/ea7cb86e6eeb2bf3a5af73a8f7777ac570321527</Application>
  <Pages>4</Pages>
  <Words>960</Words>
  <Characters>6228</Characters>
  <CharactersWithSpaces>7098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2020-06-19T22:04:19Z</dcterms:created>
  <dc:creator/>
  <dc:description/>
  <dc:language>en-US</dc:language>
  <cp:lastModifiedBy/>
  <dcterms:modified xsi:type="dcterms:W3CDTF">2020-07-15T16:27:37Z</dcterms:modified>
  <cp:revision>37</cp:revision>
  <dc:subject/>
  <dc:title/>
</cp:coreProperties>
</file>