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Style w:val="SubtleReference"/>
          <w:rFonts w:cs="Arial" w:ascii="Arial Narrow" w:hAnsi="Arial Narrow"/>
          <w:sz w:val="24"/>
          <w:szCs w:val="24"/>
          <w:lang w:val="en-US"/>
        </w:rPr>
        <w:t>Academic course description  – crystallography</w:t>
      </w:r>
    </w:p>
    <w:p>
      <w:pPr>
        <w:pStyle w:val="Normal"/>
        <w:spacing w:lineRule="auto" w:line="240" w:before="0" w:after="0"/>
        <w:ind w:firstLine="720"/>
        <w:jc w:val="both"/>
        <w:rPr>
          <w:rFonts w:ascii="Arial Narrow" w:hAnsi="Arial Narrow" w:cs="Arial"/>
          <w:sz w:val="24"/>
          <w:szCs w:val="24"/>
          <w:lang w:val="en-US"/>
        </w:rPr>
      </w:pPr>
      <w:r>
        <w:rPr>
          <w:rFonts w:cs="Arial" w:ascii="Arial Narrow" w:hAnsi="Arial Narrow"/>
          <w:sz w:val="24"/>
          <w:szCs w:val="24"/>
          <w:lang w:val="en-US"/>
        </w:rPr>
      </w:r>
    </w:p>
    <w:tbl>
      <w:tblPr>
        <w:tblStyle w:val="TableGrid"/>
        <w:tblW w:w="9209"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8" w:type="dxa"/>
          <w:bottom w:w="0" w:type="dxa"/>
          <w:right w:w="108" w:type="dxa"/>
        </w:tblCellMar>
        <w:tblLook w:firstRow="1" w:noVBand="1" w:lastRow="0" w:firstColumn="1" w:lastColumn="0" w:noHBand="0" w:val="04a0"/>
      </w:tblPr>
      <w:tblGrid>
        <w:gridCol w:w="9209"/>
      </w:tblGrid>
      <w:tr>
        <w:trPr/>
        <w:tc>
          <w:tcPr>
            <w:tcW w:w="920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Heading5"/>
              <w:numPr>
                <w:ilvl w:val="0"/>
                <w:numId w:val="0"/>
              </w:numPr>
              <w:spacing w:lineRule="auto" w:line="240" w:before="0" w:after="0"/>
              <w:jc w:val="center"/>
              <w:outlineLvl w:val="4"/>
              <w:rPr/>
            </w:pPr>
            <w:r>
              <w:rPr>
                <w:rStyle w:val="SubtleReference"/>
                <w:rFonts w:cs="Arial" w:ascii="Arial Narrow" w:hAnsi="Arial Narrow"/>
                <w:color w:val="FFFFFF" w:themeColor="background1"/>
                <w:lang w:val="en-US"/>
              </w:rPr>
              <w:t>Bachelor’s DEGREE</w:t>
            </w:r>
          </w:p>
          <w:p>
            <w:pPr>
              <w:pStyle w:val="Heading5"/>
              <w:numPr>
                <w:ilvl w:val="0"/>
                <w:numId w:val="0"/>
              </w:numPr>
              <w:spacing w:lineRule="auto" w:line="240" w:before="0" w:after="0"/>
              <w:jc w:val="center"/>
              <w:outlineLvl w:val="4"/>
              <w:rPr/>
            </w:pPr>
            <w:r>
              <w:rPr>
                <w:rStyle w:val="SubtleReference"/>
                <w:rFonts w:cs="Arial" w:ascii="Arial Narrow" w:hAnsi="Arial Narrow"/>
                <w:b/>
                <w:color w:val="FF0000"/>
                <w:lang w:val="en-US"/>
              </w:rPr>
              <w:t>GEOCHEMISTRY</w:t>
            </w:r>
          </w:p>
          <w:p>
            <w:pPr>
              <w:pStyle w:val="Heading5"/>
              <w:numPr>
                <w:ilvl w:val="0"/>
                <w:numId w:val="0"/>
              </w:numPr>
              <w:spacing w:lineRule="auto" w:line="240" w:before="0" w:after="0"/>
              <w:jc w:val="center"/>
              <w:outlineLvl w:val="4"/>
              <w:rPr/>
            </w:pPr>
            <w:r>
              <w:rPr>
                <w:rStyle w:val="SubtleReference"/>
                <w:rFonts w:cs="Arial" w:ascii="Arial Narrow" w:hAnsi="Arial Narrow"/>
                <w:color w:val="FF0000"/>
                <w:lang w:val="en-US"/>
              </w:rPr>
              <w:t>1</w:t>
            </w:r>
            <w:r>
              <w:rPr>
                <w:rStyle w:val="SubtleReference"/>
                <w:rFonts w:cs="Arial" w:ascii="Arial Narrow" w:hAnsi="Arial Narrow"/>
                <w:color w:val="FF0000"/>
                <w:vertAlign w:val="superscript"/>
                <w:lang w:val="en-US"/>
              </w:rPr>
              <w:t>st</w:t>
            </w:r>
            <w:r>
              <w:rPr>
                <w:rStyle w:val="SubtleReference"/>
                <w:rFonts w:cs="Arial" w:ascii="Arial Narrow" w:hAnsi="Arial Narrow"/>
                <w:color w:val="FF0000"/>
                <w:lang w:val="en-US"/>
              </w:rPr>
              <w:t xml:space="preserve"> </w:t>
            </w:r>
            <w:r>
              <w:rPr>
                <w:rStyle w:val="SubtleReference"/>
                <w:rFonts w:cs="Arial" w:ascii="Arial Narrow" w:hAnsi="Arial Narrow"/>
                <w:color w:val="FFFFFF" w:themeColor="background1"/>
                <w:lang w:val="en-US"/>
              </w:rPr>
              <w:t xml:space="preserve">YEAR OF STUDY, </w:t>
            </w:r>
            <w:r>
              <w:rPr>
                <w:rStyle w:val="SubtleReference"/>
                <w:rFonts w:cs="Arial" w:ascii="Arial Narrow" w:hAnsi="Arial Narrow"/>
                <w:color w:val="FF0000"/>
                <w:lang w:val="en-US"/>
              </w:rPr>
              <w:t>1</w:t>
            </w:r>
            <w:r>
              <w:rPr>
                <w:rStyle w:val="SubtleReference"/>
                <w:rFonts w:cs="Arial" w:ascii="Arial Narrow" w:hAnsi="Arial Narrow"/>
                <w:color w:val="FF0000"/>
                <w:vertAlign w:val="superscript"/>
                <w:lang w:val="en-US"/>
              </w:rPr>
              <w:t>st</w:t>
            </w:r>
            <w:r>
              <w:rPr>
                <w:rStyle w:val="SubtleReference"/>
                <w:rFonts w:cs="Arial" w:ascii="Arial Narrow" w:hAnsi="Arial Narrow"/>
                <w:color w:val="FF0000"/>
                <w:lang w:val="en-US"/>
              </w:rPr>
              <w:t xml:space="preserve"> </w:t>
            </w:r>
            <w:r>
              <w:rPr>
                <w:rStyle w:val="SubtleReference"/>
                <w:rFonts w:cs="Arial" w:ascii="Arial Narrow" w:hAnsi="Arial Narrow"/>
                <w:color w:val="FFFFFF" w:themeColor="background1"/>
                <w:lang w:val="en-US"/>
              </w:rPr>
              <w:t>SEMESTER</w:t>
            </w:r>
          </w:p>
        </w:tc>
      </w:tr>
    </w:tbl>
    <w:p>
      <w:pPr>
        <w:pStyle w:val="Normal"/>
        <w:spacing w:lineRule="auto" w:line="240" w:before="0" w:after="0"/>
        <w:jc w:val="both"/>
        <w:rPr>
          <w:rStyle w:val="SubtleReference"/>
          <w:lang w:val="en-US"/>
        </w:rPr>
      </w:pPr>
      <w:bookmarkStart w:id="0" w:name="_GoBack"/>
      <w:bookmarkStart w:id="1" w:name="_GoBack"/>
      <w:bookmarkEnd w:id="1"/>
      <w:r>
        <w:rPr>
          <w:lang w:val="en-US"/>
        </w:rPr>
      </w:r>
    </w:p>
    <w:tbl>
      <w:tblPr>
        <w:tblStyle w:val="TableGrid"/>
        <w:tblW w:w="9209"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8" w:type="dxa"/>
          <w:bottom w:w="0" w:type="dxa"/>
          <w:right w:w="108" w:type="dxa"/>
        </w:tblCellMar>
        <w:tblLook w:firstRow="1" w:noVBand="1" w:lastRow="0" w:firstColumn="1" w:lastColumn="0" w:noHBand="0" w:val="04a0"/>
      </w:tblPr>
      <w:tblGrid>
        <w:gridCol w:w="561"/>
        <w:gridCol w:w="2410"/>
        <w:gridCol w:w="6237"/>
      </w:tblGrid>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b/>
                <w:color w:val="FFFFFF" w:themeColor="background1"/>
                <w:lang w:val="en-US"/>
              </w:rPr>
              <w:t>Course title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b/>
                <w:color w:val="FF0000"/>
                <w:lang w:val="en-US"/>
              </w:rPr>
              <w:t>crystallography</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Course code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Fonts w:ascii="Arial Narrow" w:hAnsi="Arial Narrow" w:cs="Arial"/>
                <w:color w:val="FF0000"/>
              </w:rPr>
            </w:pPr>
            <w:r>
              <w:rPr>
                <w:rFonts w:cs="Arial" w:ascii="Trebuchet MS" w:hAnsi="Trebuchet MS"/>
                <w:b w:val="false"/>
                <w:i w:val="false"/>
                <w:caps w:val="false"/>
                <w:smallCaps w:val="false"/>
                <w:color w:val="FF0000"/>
                <w:sz w:val="20"/>
              </w:rPr>
              <w:t>31020030020SL1111103</w:t>
            </w:r>
            <w:r>
              <w:rPr>
                <w:rFonts w:cs="Arial" w:ascii="Arial Narrow" w:hAnsi="Arial Narrow"/>
                <w:color w:val="FF0000"/>
              </w:rPr>
              <w:t xml:space="preserve">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Course type</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FF0000"/>
                <w:lang w:val="en-US"/>
              </w:rPr>
              <w:t>full attendance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Course level</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FF0000"/>
                <w:lang w:val="en-US"/>
              </w:rPr>
              <w:t>1</w:t>
            </w:r>
            <w:r>
              <w:rPr>
                <w:rFonts w:cs="Arial" w:ascii="Arial Narrow" w:hAnsi="Arial Narrow"/>
                <w:color w:val="FF0000"/>
                <w:vertAlign w:val="superscript"/>
                <w:lang w:val="en-US"/>
              </w:rPr>
              <w:t>ST</w:t>
            </w:r>
            <w:r>
              <w:rPr>
                <w:rFonts w:cs="Arial" w:ascii="Arial Narrow" w:hAnsi="Arial Narrow"/>
                <w:color w:val="000000" w:themeColor="text1"/>
                <w:lang w:val="en-US"/>
              </w:rPr>
              <w:t xml:space="preserve"> cycle (</w:t>
            </w:r>
            <w:r>
              <w:rPr>
                <w:rFonts w:cs="Arial" w:ascii="Arial Narrow" w:hAnsi="Arial Narrow"/>
                <w:color w:val="FF0000"/>
                <w:lang w:val="en-US"/>
              </w:rPr>
              <w:t>bachelor</w:t>
            </w:r>
            <w:r>
              <w:rPr>
                <w:rFonts w:cs="Arial" w:ascii="Arial Narrow" w:hAnsi="Arial Narrow"/>
                <w:color w:val="000000" w:themeColor="text1"/>
                <w:lang w:val="en-US"/>
              </w:rPr>
              <w:t>’s degree)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Year of study, semester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FF0000"/>
                <w:lang w:val="en-US"/>
              </w:rPr>
              <w:t>1</w:t>
            </w:r>
            <w:r>
              <w:rPr>
                <w:rFonts w:cs="Arial" w:ascii="Arial Narrow" w:hAnsi="Arial Narrow"/>
                <w:color w:val="FF0000"/>
                <w:vertAlign w:val="superscript"/>
                <w:lang w:val="en-US"/>
              </w:rPr>
              <w:t>st</w:t>
            </w:r>
            <w:r>
              <w:rPr>
                <w:rFonts w:cs="Arial" w:ascii="Arial Narrow" w:hAnsi="Arial Narrow"/>
                <w:color w:val="FF0000"/>
                <w:lang w:val="en-US"/>
              </w:rPr>
              <w:t xml:space="preserve"> </w:t>
            </w:r>
            <w:r>
              <w:rPr>
                <w:rFonts w:cs="Arial" w:ascii="Arial Narrow" w:hAnsi="Arial Narrow"/>
                <w:color w:val="000000" w:themeColor="text1"/>
                <w:lang w:val="en-US"/>
              </w:rPr>
              <w:t>year of study,</w:t>
            </w:r>
            <w:r>
              <w:rPr>
                <w:rFonts w:cs="Arial" w:ascii="Arial Narrow" w:hAnsi="Arial Narrow"/>
                <w:color w:val="FF0000"/>
                <w:lang w:val="en-US"/>
              </w:rPr>
              <w:t xml:space="preserve"> 1</w:t>
            </w:r>
            <w:r>
              <w:rPr>
                <w:rFonts w:cs="Arial" w:ascii="Arial Narrow" w:hAnsi="Arial Narrow"/>
                <w:color w:val="FF0000"/>
                <w:vertAlign w:val="superscript"/>
                <w:lang w:val="en-US"/>
              </w:rPr>
              <w:t>st</w:t>
            </w:r>
            <w:r>
              <w:rPr>
                <w:rFonts w:cs="Arial" w:ascii="Arial Narrow" w:hAnsi="Arial Narrow"/>
                <w:color w:val="FF0000"/>
                <w:lang w:val="en-US"/>
              </w:rPr>
              <w:t xml:space="preserve"> </w:t>
            </w:r>
            <w:r>
              <w:rPr>
                <w:rFonts w:cs="Arial" w:ascii="Arial Narrow" w:hAnsi="Arial Narrow"/>
                <w:color w:val="000000" w:themeColor="text1"/>
                <w:lang w:val="en-US"/>
              </w:rPr>
              <w:t>semester</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Number of ECTS credits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FF0000"/>
                <w:lang w:val="en-US"/>
              </w:rPr>
              <w:t>6</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Number of hours per week</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FF0000"/>
                <w:lang w:val="en-US"/>
              </w:rPr>
              <w:t xml:space="preserve">4 </w:t>
            </w:r>
            <w:r>
              <w:rPr>
                <w:rFonts w:cs="Arial" w:ascii="Arial Narrow" w:hAnsi="Arial Narrow"/>
                <w:color w:val="000000" w:themeColor="text1"/>
                <w:lang w:val="en-US"/>
              </w:rPr>
              <w:t>(</w:t>
            </w:r>
            <w:r>
              <w:rPr>
                <w:rFonts w:cs="Arial" w:ascii="Arial Narrow" w:hAnsi="Arial Narrow"/>
                <w:color w:val="FF0000"/>
                <w:lang w:val="en-US"/>
              </w:rPr>
              <w:t>2</w:t>
            </w:r>
            <w:r>
              <w:rPr>
                <w:rFonts w:cs="Arial" w:ascii="Arial Narrow" w:hAnsi="Arial Narrow"/>
                <w:color w:val="000000" w:themeColor="text1"/>
                <w:lang w:val="en-US"/>
              </w:rPr>
              <w:t xml:space="preserve"> lecture hours + </w:t>
            </w:r>
            <w:r>
              <w:rPr>
                <w:rFonts w:cs="Arial" w:ascii="Arial Narrow" w:hAnsi="Arial Narrow"/>
                <w:color w:val="FF0000"/>
                <w:lang w:val="en-US"/>
              </w:rPr>
              <w:t>2</w:t>
            </w:r>
            <w:r>
              <w:rPr>
                <w:rFonts w:cs="Arial" w:ascii="Arial Narrow" w:hAnsi="Arial Narrow"/>
                <w:color w:val="000000" w:themeColor="text1"/>
                <w:lang w:val="en-US"/>
              </w:rPr>
              <w:t xml:space="preserve"> seminar hours)</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Name of lecture holder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000000" w:themeColor="text1"/>
                <w:lang w:val="en-US"/>
              </w:rPr>
              <w:t>Assistant Professor Andrei Ionu</w:t>
            </w:r>
            <w:bookmarkStart w:id="2" w:name="__DdeLink__12990_2155390914"/>
            <w:r>
              <w:rPr>
                <w:rFonts w:cs="Arial" w:ascii="Arial narrow" w:hAnsi="Arial narrow"/>
                <w:b w:val="false"/>
                <w:bCs w:val="false"/>
                <w:i w:val="false"/>
                <w:strike w:val="false"/>
                <w:dstrike w:val="false"/>
                <w:outline w:val="false"/>
                <w:shadow w:val="false"/>
                <w:color w:val="000000" w:themeColor="text1"/>
                <w:sz w:val="24"/>
                <w:szCs w:val="24"/>
                <w:u w:val="none"/>
                <w:em w:val="none"/>
                <w:lang w:val="en-US" w:eastAsia="en-US"/>
              </w:rPr>
              <w:t>ţ</w:t>
            </w:r>
            <w:bookmarkEnd w:id="2"/>
            <w:r>
              <w:rPr>
                <w:rFonts w:cs="Arial" w:ascii="Arial Narrow" w:hAnsi="Arial Narrow"/>
                <w:color w:val="000000" w:themeColor="text1"/>
                <w:lang w:val="en-US"/>
              </w:rPr>
              <w:t xml:space="preserve"> Apopei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Name of seminar holder</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000000" w:themeColor="text1"/>
                <w:lang w:val="en-US"/>
              </w:rPr>
              <w:t>Assistant Professor Andrei Ionu</w:t>
            </w:r>
            <w:r>
              <w:rPr>
                <w:rFonts w:cs="Arial" w:ascii="Arial narrow" w:hAnsi="Arial narrow"/>
                <w:b w:val="false"/>
                <w:bCs w:val="false"/>
                <w:i w:val="false"/>
                <w:strike w:val="false"/>
                <w:dstrike w:val="false"/>
                <w:outline w:val="false"/>
                <w:shadow w:val="false"/>
                <w:color w:val="000000" w:themeColor="text1"/>
                <w:sz w:val="24"/>
                <w:szCs w:val="24"/>
                <w:u w:val="none"/>
                <w:em w:val="none"/>
                <w:lang w:val="en-US" w:eastAsia="en-US"/>
              </w:rPr>
              <w:t>ţ</w:t>
            </w:r>
            <w:r>
              <w:rPr>
                <w:rFonts w:cs="Arial" w:ascii="Arial Narrow" w:hAnsi="Arial Narrow"/>
                <w:color w:val="000000" w:themeColor="text1"/>
                <w:lang w:val="en-US"/>
              </w:rPr>
              <w:t xml:space="preserve"> Apopei </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Prerequisites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Fonts w:ascii="Arial Narrow" w:hAnsi="Arial Narrow" w:cs="Arial"/>
                <w:color w:val="FF0000"/>
                <w:lang w:val="en-US"/>
              </w:rPr>
            </w:pPr>
            <w:r>
              <w:rPr>
                <w:rFonts w:cs="Arial" w:ascii="Arial Narrow" w:hAnsi="Arial Narrow"/>
                <w:color w:val="FF0000"/>
                <w:lang w:val="en-US"/>
              </w:rPr>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A</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b/>
                <w:color w:val="FFFFFF" w:themeColor="background1"/>
                <w:lang w:val="en-US"/>
              </w:rPr>
              <w:t>General and course-specific competences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jc w:val="both"/>
              <w:rPr>
                <w:rFonts w:ascii="Arial Narrow" w:hAnsi="Arial Narrow" w:cs="Arial"/>
                <w:b/>
                <w:b/>
                <w:lang w:val="en-US"/>
              </w:rPr>
            </w:pPr>
            <w:r>
              <w:rPr>
                <w:rFonts w:cs="Arial" w:ascii="Arial Narrow" w:hAnsi="Arial Narrow"/>
                <w:b/>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jc w:val="both"/>
              <w:rPr/>
            </w:pPr>
            <w:r>
              <w:rPr>
                <w:rFonts w:cs="Arial" w:ascii="Arial Narrow" w:hAnsi="Arial Narrow"/>
                <w:b/>
                <w:lang w:val="en-US"/>
              </w:rPr>
              <w:t>General competences</w:t>
            </w:r>
            <w:r>
              <w:rPr>
                <w:rFonts w:cs="Arial" w:ascii="Arial Narrow" w:hAnsi="Arial Narrow"/>
                <w:lang w:val="en-US"/>
              </w:rPr>
              <w:t>:</w:t>
            </w:r>
          </w:p>
          <w:p>
            <w:pPr>
              <w:pStyle w:val="ListParagraph"/>
              <w:numPr>
                <w:ilvl w:val="0"/>
                <w:numId w:val="1"/>
              </w:numPr>
              <w:spacing w:lineRule="auto" w:line="240" w:before="0" w:after="0"/>
              <w:ind w:left="325" w:hanging="360"/>
              <w:contextualSpacing/>
              <w:jc w:val="both"/>
              <w:rPr/>
            </w:pPr>
            <w:r>
              <w:rPr>
                <w:rFonts w:cs="Arial" w:ascii="Arial Narrow" w:hAnsi="Arial Narrow"/>
                <w:lang w:val="en-US"/>
              </w:rPr>
              <w:t xml:space="preserve">Applying efficient work strategies so as to gain knowledge of Crystallography that will prove useful for the study of future academic disciplines (Descriptive Mineralogy, Mineralogenesis, Igneous Petrography, Metamorphic Petrography, Sedimentary Petrography, Geology of Ore Deposits) </w:t>
            </w:r>
          </w:p>
          <w:p>
            <w:pPr>
              <w:pStyle w:val="ListParagraph"/>
              <w:spacing w:lineRule="auto" w:line="240" w:before="0" w:after="0"/>
              <w:ind w:left="720" w:hanging="0"/>
              <w:contextualSpacing/>
              <w:jc w:val="both"/>
              <w:rPr>
                <w:rFonts w:ascii="Arial Narrow" w:hAnsi="Arial Narrow" w:cs="Arial"/>
              </w:rPr>
            </w:pPr>
            <w:r>
              <w:rPr>
                <w:rFonts w:cs="Arial" w:ascii="Arial Narrow" w:hAnsi="Arial Narrow"/>
              </w:rPr>
            </w:r>
          </w:p>
          <w:p>
            <w:pPr>
              <w:pStyle w:val="Normal"/>
              <w:spacing w:lineRule="auto" w:line="240" w:before="0" w:after="0"/>
              <w:ind w:left="41" w:hanging="0"/>
              <w:jc w:val="both"/>
              <w:rPr/>
            </w:pPr>
            <w:r>
              <w:rPr>
                <w:rFonts w:cs="Arial" w:ascii="Arial Narrow" w:hAnsi="Arial Narrow"/>
                <w:b/>
                <w:lang w:val="en-US"/>
              </w:rPr>
              <w:t>Course-specific competences</w:t>
            </w:r>
            <w:r>
              <w:rPr>
                <w:rFonts w:cs="Arial" w:ascii="Arial Narrow" w:hAnsi="Arial Narrow"/>
                <w:lang w:val="en-US"/>
              </w:rPr>
              <w:t>:</w:t>
            </w:r>
          </w:p>
          <w:p>
            <w:pPr>
              <w:pStyle w:val="ListParagraph"/>
              <w:numPr>
                <w:ilvl w:val="0"/>
                <w:numId w:val="2"/>
              </w:numPr>
              <w:spacing w:lineRule="auto" w:line="240" w:before="0" w:after="0"/>
              <w:ind w:left="325" w:hanging="360"/>
              <w:contextualSpacing/>
              <w:jc w:val="both"/>
              <w:rPr/>
            </w:pPr>
            <w:r>
              <w:rPr>
                <w:rFonts w:cs="Arial" w:ascii="Arial Narrow" w:hAnsi="Arial Narrow"/>
                <w:lang w:val="en-US"/>
              </w:rPr>
              <w:t xml:space="preserve">Identifying and understanding the main concepts and phenomena related to Geometric Crystallography (crystallogenesis, habitus, space groups etc.), plane-polarized light microscopy (Physical Crystallography), Radiocrystallography (X-ray diffraction) etc. </w:t>
            </w:r>
          </w:p>
          <w:p>
            <w:pPr>
              <w:pStyle w:val="ListParagraph"/>
              <w:numPr>
                <w:ilvl w:val="0"/>
                <w:numId w:val="2"/>
              </w:numPr>
              <w:spacing w:lineRule="auto" w:line="240" w:before="0" w:after="0"/>
              <w:ind w:left="325" w:hanging="360"/>
              <w:contextualSpacing/>
              <w:jc w:val="both"/>
              <w:rPr/>
            </w:pPr>
            <w:r>
              <w:rPr>
                <w:rFonts w:cs="Arial" w:ascii="Arial Narrow" w:hAnsi="Arial Narrow"/>
                <w:lang w:val="en-US"/>
              </w:rPr>
              <w:t>Understanding the functioning of the petrographic microscope as a tool in the identification of the optical properties of minerals</w:t>
            </w:r>
          </w:p>
          <w:p>
            <w:pPr>
              <w:pStyle w:val="ListParagraph"/>
              <w:numPr>
                <w:ilvl w:val="0"/>
                <w:numId w:val="2"/>
              </w:numPr>
              <w:spacing w:lineRule="auto" w:line="240" w:before="0" w:after="0"/>
              <w:ind w:left="325" w:hanging="360"/>
              <w:contextualSpacing/>
              <w:jc w:val="both"/>
              <w:rPr/>
            </w:pPr>
            <w:r>
              <w:rPr>
                <w:rFonts w:cs="Arial" w:ascii="Arial Narrow" w:hAnsi="Arial Narrow"/>
                <w:lang w:val="en-US"/>
              </w:rPr>
              <w:t xml:space="preserve">Understanding the functioning of the X-ray </w:t>
            </w:r>
            <w:bookmarkStart w:id="3" w:name="__DdeLink__2385_1001852308"/>
            <w:r>
              <w:rPr>
                <w:rFonts w:cs="Arial" w:ascii="Arial Narrow" w:hAnsi="Arial Narrow"/>
                <w:lang w:val="en-US"/>
              </w:rPr>
              <w:t>diffractometer</w:t>
            </w:r>
            <w:bookmarkEnd w:id="3"/>
            <w:r>
              <w:rPr>
                <w:rFonts w:cs="Arial" w:ascii="Arial Narrow" w:hAnsi="Arial Narrow"/>
                <w:lang w:val="en-US"/>
              </w:rPr>
              <w:t xml:space="preserve"> </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Fonts w:cs="Arial" w:ascii="Arial Narrow" w:hAnsi="Arial Narrow"/>
                <w:color w:val="FFFFFF" w:themeColor="background1"/>
                <w:lang w:val="en-US"/>
              </w:rPr>
              <w:t>B</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Learning outcomes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ListParagraph"/>
              <w:numPr>
                <w:ilvl w:val="0"/>
                <w:numId w:val="0"/>
              </w:numPr>
              <w:spacing w:lineRule="auto" w:line="240" w:before="0" w:after="0"/>
              <w:ind w:left="720" w:hanging="0"/>
              <w:contextualSpacing/>
              <w:jc w:val="both"/>
              <w:rPr/>
            </w:pPr>
            <w:r>
              <w:rPr>
                <w:rFonts w:cs="Arial" w:ascii="Arial Narrow" w:hAnsi="Arial Narrow"/>
                <w:lang w:val="en-US"/>
              </w:rPr>
              <w:t>Upon successfully completing the discipline, students become capable of:</w:t>
            </w:r>
          </w:p>
          <w:p>
            <w:pPr>
              <w:pStyle w:val="ListParagraph"/>
              <w:numPr>
                <w:ilvl w:val="0"/>
                <w:numId w:val="0"/>
              </w:numPr>
              <w:spacing w:lineRule="auto" w:line="240" w:before="0" w:after="0"/>
              <w:ind w:left="685" w:hanging="0"/>
              <w:contextualSpacing/>
              <w:jc w:val="both"/>
              <w:rPr>
                <w:rFonts w:ascii="Arial Narrow" w:hAnsi="Arial Narrow" w:cs="Arial"/>
                <w:lang w:val="en-US"/>
              </w:rPr>
            </w:pPr>
            <w:r>
              <w:rPr>
                <w:rFonts w:cs="Arial" w:ascii="Arial Narrow" w:hAnsi="Arial Narrow"/>
                <w:lang w:val="en-US"/>
              </w:rPr>
              <w:t>- identifying the axes, planes and centers of symmetry of various crystalline forms</w:t>
            </w:r>
          </w:p>
          <w:p>
            <w:pPr>
              <w:pStyle w:val="ListParagraph"/>
              <w:numPr>
                <w:ilvl w:val="0"/>
                <w:numId w:val="0"/>
              </w:numPr>
              <w:spacing w:lineRule="auto" w:line="240" w:before="0" w:after="0"/>
              <w:ind w:left="685" w:hanging="0"/>
              <w:contextualSpacing/>
              <w:jc w:val="both"/>
              <w:rPr>
                <w:rFonts w:ascii="Arial Narrow" w:hAnsi="Arial Narrow" w:cs="Arial"/>
                <w:lang w:val="en-US"/>
              </w:rPr>
            </w:pPr>
            <w:r>
              <w:rPr>
                <w:rFonts w:cs="Arial" w:ascii="Arial Narrow" w:hAnsi="Arial Narrow"/>
                <w:lang w:val="en-US"/>
              </w:rPr>
              <w:t>- identifying the crystallographic system of a crystal</w:t>
            </w:r>
          </w:p>
          <w:p>
            <w:pPr>
              <w:pStyle w:val="ListParagraph"/>
              <w:numPr>
                <w:ilvl w:val="0"/>
                <w:numId w:val="0"/>
              </w:numPr>
              <w:spacing w:lineRule="auto" w:line="240" w:before="0" w:after="0"/>
              <w:ind w:left="685" w:hanging="0"/>
              <w:contextualSpacing/>
              <w:jc w:val="both"/>
              <w:rPr>
                <w:rFonts w:ascii="Arial Narrow" w:hAnsi="Arial Narrow" w:cs="Arial"/>
                <w:lang w:val="en-US"/>
              </w:rPr>
            </w:pPr>
            <w:r>
              <w:rPr>
                <w:rFonts w:cs="Arial" w:ascii="Arial Narrow" w:hAnsi="Arial Narrow"/>
                <w:lang w:val="en-US"/>
              </w:rPr>
              <w:t>- identifying the properties of crystals based on microscopic studies with parallel nicols</w:t>
            </w:r>
          </w:p>
          <w:p>
            <w:pPr>
              <w:pStyle w:val="ListParagraph"/>
              <w:numPr>
                <w:ilvl w:val="0"/>
                <w:numId w:val="0"/>
              </w:numPr>
              <w:spacing w:lineRule="auto" w:line="240" w:before="0" w:after="0"/>
              <w:ind w:left="685" w:hanging="0"/>
              <w:contextualSpacing/>
              <w:jc w:val="both"/>
              <w:rPr>
                <w:rFonts w:ascii="Arial Narrow" w:hAnsi="Arial Narrow" w:cs="Arial"/>
                <w:lang w:val="en-US"/>
              </w:rPr>
            </w:pPr>
            <w:r>
              <w:rPr>
                <w:rFonts w:cs="Arial" w:ascii="Arial Narrow" w:hAnsi="Arial Narrow"/>
                <w:lang w:val="en-US"/>
              </w:rPr>
              <w:t xml:space="preserve">- identifying the properties of crystals based on microscopic studies with crossed nicols </w:t>
            </w:r>
          </w:p>
          <w:p>
            <w:pPr>
              <w:pStyle w:val="ListParagraph"/>
              <w:numPr>
                <w:ilvl w:val="0"/>
                <w:numId w:val="0"/>
              </w:numPr>
              <w:spacing w:lineRule="auto" w:line="240" w:before="0" w:after="0"/>
              <w:ind w:left="685" w:hanging="0"/>
              <w:contextualSpacing/>
              <w:jc w:val="both"/>
              <w:rPr>
                <w:rFonts w:ascii="Arial Narrow" w:hAnsi="Arial Narrow" w:cs="Arial"/>
                <w:lang w:val="en-US"/>
              </w:rPr>
            </w:pPr>
            <w:r>
              <w:rPr>
                <w:rFonts w:cs="Arial" w:ascii="Arial Narrow" w:hAnsi="Arial Narrow"/>
                <w:lang w:val="en-US"/>
              </w:rPr>
              <w:t xml:space="preserve">- identifying minerals based on X-ray diffraction </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C</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Lecture content</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jc w:val="both"/>
              <w:rPr>
                <w:rFonts w:ascii="Arial Narrow" w:hAnsi="Arial Narrow" w:cs="Arial"/>
                <w:color w:val="000000" w:themeColor="text1"/>
                <w:lang w:val="en-US"/>
              </w:rPr>
            </w:pPr>
            <w:r>
              <w:rPr>
                <w:rFonts w:cs="Arial" w:ascii="Arial Narrow" w:hAnsi="Arial Narrow"/>
                <w:color w:val="000000" w:themeColor="text1"/>
                <w:lang w:val="en-US"/>
              </w:rPr>
            </w:r>
          </w:p>
          <w:tbl>
            <w:tblPr>
              <w:tblW w:w="842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2106"/>
              <w:gridCol w:w="2107"/>
              <w:gridCol w:w="2106"/>
              <w:gridCol w:w="2107"/>
            </w:tblGrid>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Week</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Title of lecture</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Teaching methods</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 </w:t>
                  </w:r>
                  <w:r>
                    <w:rPr>
                      <w:rFonts w:ascii="Arial narrow" w:hAnsi="Arial narrow"/>
                      <w:sz w:val="20"/>
                      <w:szCs w:val="20"/>
                    </w:rPr>
                    <w:t xml:space="preserve">Duration </w:t>
                  </w:r>
                </w:p>
              </w:tc>
            </w:tr>
            <w:tr>
              <w:trPr>
                <w:trHeight w:val="1026" w:hRule="atLeast"/>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Introduction (crystalline/amorphous substances, liquid crystals etc.)</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 </w:t>
                  </w:r>
                  <w:r>
                    <w:rPr>
                      <w:rFonts w:ascii="Arial narrow" w:hAnsi="Arial narrow"/>
                      <w:sz w:val="20"/>
                      <w:szCs w:val="20"/>
                    </w:rPr>
                    <w:t xml:space="preserve">Lecture, problematization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3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2</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 </w:t>
                  </w:r>
                  <w:r>
                    <w:rPr>
                      <w:rFonts w:ascii="Arial narrow" w:hAnsi="Arial narrow"/>
                      <w:sz w:val="20"/>
                      <w:szCs w:val="20"/>
                    </w:rPr>
                    <w:t xml:space="preserve">I. Crystallogenesis </w:t>
                  </w:r>
                </w:p>
                <w:p>
                  <w:pPr>
                    <w:pStyle w:val="TableContents"/>
                    <w:spacing w:lineRule="auto" w:line="240" w:before="0" w:after="160"/>
                    <w:jc w:val="center"/>
                    <w:rPr>
                      <w:sz w:val="20"/>
                      <w:szCs w:val="20"/>
                    </w:rPr>
                  </w:pPr>
                  <w:r>
                    <w:rPr>
                      <w:rFonts w:ascii="Arial narrow" w:hAnsi="Arial narrow"/>
                      <w:sz w:val="20"/>
                      <w:szCs w:val="20"/>
                    </w:rPr>
                    <w:t>I.1.   Flaws in the crystal lattice</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Lecture</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2.5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3</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I.2.  Crystallogenetic processes</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Lecture, problematization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3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4</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II. Geometric Crystallography </w:t>
                  </w:r>
                </w:p>
                <w:p>
                  <w:pPr>
                    <w:pStyle w:val="TableContents"/>
                    <w:spacing w:lineRule="auto" w:line="240" w:before="0" w:after="160"/>
                    <w:jc w:val="center"/>
                    <w:rPr>
                      <w:sz w:val="20"/>
                      <w:szCs w:val="20"/>
                    </w:rPr>
                  </w:pPr>
                  <w:r>
                    <w:rPr>
                      <w:rFonts w:ascii="Arial narrow" w:hAnsi="Arial narrow"/>
                      <w:sz w:val="20"/>
                      <w:szCs w:val="20"/>
                    </w:rPr>
                    <w:t xml:space="preserve">II.1. The laws of Geometric Crystallography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debate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2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5</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II.2. Analytical expressions and relations for facets and zones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Lecture</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1.5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6</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III. Crystal symmetry </w:t>
                  </w:r>
                </w:p>
                <w:p>
                  <w:pPr>
                    <w:pStyle w:val="TableContents"/>
                    <w:spacing w:lineRule="auto" w:line="240" w:before="0" w:after="160"/>
                    <w:jc w:val="center"/>
                    <w:rPr>
                      <w:sz w:val="20"/>
                      <w:szCs w:val="20"/>
                    </w:rPr>
                  </w:pPr>
                  <w:r>
                    <w:rPr>
                      <w:rFonts w:ascii="Arial narrow" w:hAnsi="Arial narrow"/>
                      <w:sz w:val="20"/>
                      <w:szCs w:val="20"/>
                    </w:rPr>
                    <w:t xml:space="preserve">III.1. Punctual symmetry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6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7</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III.2.  Lattice symmetry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1.5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8</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IV. Physical Crystallography</w:t>
                  </w:r>
                </w:p>
                <w:p>
                  <w:pPr>
                    <w:pStyle w:val="TableContents"/>
                    <w:spacing w:lineRule="auto" w:line="240" w:before="0" w:after="160"/>
                    <w:jc w:val="center"/>
                    <w:rPr>
                      <w:sz w:val="20"/>
                      <w:szCs w:val="20"/>
                    </w:rPr>
                  </w:pPr>
                  <w:r>
                    <w:rPr>
                      <w:rFonts w:ascii="Arial narrow" w:hAnsi="Arial narrow"/>
                      <w:sz w:val="20"/>
                      <w:szCs w:val="20"/>
                    </w:rPr>
                    <w:t xml:space="preserve">IV.1. Optical properties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Lecture, problematization</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4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9</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IV.2.  Magnetic and electrical properties</w:t>
                  </w:r>
                </w:p>
                <w:p>
                  <w:pPr>
                    <w:pStyle w:val="TableContents"/>
                    <w:spacing w:lineRule="auto" w:line="240" w:before="0" w:after="160"/>
                    <w:jc w:val="center"/>
                    <w:rPr>
                      <w:sz w:val="20"/>
                      <w:szCs w:val="20"/>
                    </w:rPr>
                  </w:pPr>
                  <w:r>
                    <w:rPr>
                      <w:rFonts w:ascii="Arial narrow" w:hAnsi="Arial narrow"/>
                      <w:sz w:val="20"/>
                      <w:szCs w:val="20"/>
                    </w:rPr>
                    <w:t xml:space="preserve">IV.3. Cohesion-related properties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1.5 hours</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10 </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V. Radiocrystallography </w:t>
                  </w:r>
                </w:p>
                <w:p>
                  <w:pPr>
                    <w:pStyle w:val="TableContents"/>
                    <w:spacing w:lineRule="auto" w:line="240" w:before="0" w:after="160"/>
                    <w:jc w:val="center"/>
                    <w:rPr>
                      <w:sz w:val="20"/>
                      <w:szCs w:val="20"/>
                    </w:rPr>
                  </w:pPr>
                  <w:r>
                    <w:rPr>
                      <w:rFonts w:ascii="Arial narrow" w:hAnsi="Arial narrow"/>
                      <w:sz w:val="20"/>
                      <w:szCs w:val="20"/>
                    </w:rPr>
                    <w:t xml:space="preserve">V.1.   X-ray diffraction through crystals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 hour</w:t>
                  </w:r>
                </w:p>
              </w:tc>
            </w:tr>
            <w:tr>
              <w:trPr/>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11</w:t>
                  </w:r>
                </w:p>
              </w:tc>
              <w:tc>
                <w:tcPr>
                  <w:tcW w:w="210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V.2.  Methods for the X-ray analysis of crystals </w:t>
                  </w:r>
                </w:p>
              </w:tc>
              <w:tc>
                <w:tcPr>
                  <w:tcW w:w="2106"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 xml:space="preserve">Lecture </w:t>
                  </w:r>
                </w:p>
              </w:tc>
              <w:tc>
                <w:tcPr>
                  <w:tcW w:w="21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spacing w:lineRule="auto" w:line="240" w:before="0" w:after="160"/>
                    <w:jc w:val="center"/>
                    <w:rPr>
                      <w:sz w:val="20"/>
                      <w:szCs w:val="20"/>
                    </w:rPr>
                  </w:pPr>
                  <w:r>
                    <w:rPr>
                      <w:rFonts w:ascii="Arial narrow" w:hAnsi="Arial narrow"/>
                      <w:sz w:val="20"/>
                      <w:szCs w:val="20"/>
                    </w:rPr>
                    <w:t>2 hours</w:t>
                  </w:r>
                </w:p>
              </w:tc>
            </w:tr>
          </w:tbl>
          <w:p>
            <w:pPr>
              <w:pStyle w:val="Normal"/>
              <w:spacing w:lineRule="auto" w:line="240" w:before="0" w:after="0"/>
              <w:jc w:val="both"/>
              <w:rPr>
                <w:rFonts w:ascii="Arial Narrow" w:hAnsi="Arial Narrow" w:cs="Arial"/>
                <w:lang w:val="en-US"/>
              </w:rPr>
            </w:pPr>
            <w:r>
              <w:rPr>
                <w:rFonts w:cs="Arial" w:ascii="Arial Narrow" w:hAnsi="Arial Narrow"/>
                <w:lang w:val="en-US"/>
              </w:rPr>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D</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Recommended reading for lectures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ind w:hanging="0"/>
              <w:rPr/>
            </w:pPr>
            <w:r>
              <w:rPr>
                <w:rFonts w:cs="Arial" w:ascii="Arial" w:hAnsi="Arial"/>
                <w:sz w:val="20"/>
                <w:szCs w:val="20"/>
                <w:lang w:val="fr-FR"/>
              </w:rPr>
              <w:t>Rousseau, J-J. (1995) Cristallographie géométrique et radiocristallographie. Masson, Paris.</w:t>
            </w:r>
          </w:p>
          <w:p>
            <w:pPr>
              <w:pStyle w:val="Normal"/>
              <w:ind w:left="284" w:hanging="284"/>
              <w:rPr/>
            </w:pPr>
            <w:r>
              <w:rPr>
                <w:rFonts w:cs="Arial" w:ascii="Arial" w:hAnsi="Arial"/>
                <w:sz w:val="20"/>
                <w:szCs w:val="20"/>
                <w:lang w:val="fr-FR"/>
              </w:rPr>
              <w:t>Putnis, A. (1993). Introduct</w:t>
            </w:r>
            <w:r>
              <w:rPr>
                <w:rFonts w:cs="Arial" w:ascii="Arial" w:hAnsi="Arial"/>
                <w:sz w:val="20"/>
                <w:szCs w:val="20"/>
              </w:rPr>
              <w:t>ion to Mineral Sciences (chapters 1-7). Cambridge University Press,</w:t>
            </w:r>
          </w:p>
          <w:p>
            <w:pPr>
              <w:pStyle w:val="Normal"/>
              <w:ind w:left="284" w:hanging="284"/>
              <w:rPr/>
            </w:pPr>
            <w:r>
              <w:rPr>
                <w:rFonts w:cs="Arial" w:ascii="Arial" w:hAnsi="Arial"/>
                <w:sz w:val="20"/>
                <w:szCs w:val="20"/>
              </w:rPr>
              <w:t xml:space="preserve">      </w:t>
            </w:r>
            <w:r>
              <w:rPr>
                <w:rFonts w:cs="Arial" w:ascii="Arial" w:hAnsi="Arial"/>
                <w:sz w:val="20"/>
                <w:szCs w:val="20"/>
              </w:rPr>
              <w:t>Cambridge.</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E</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rStyle w:val="SubtleReference"/>
                <w:rFonts w:ascii="Arial Narrow" w:hAnsi="Arial Narrow" w:cs="Arial"/>
                <w:b/>
                <w:b/>
                <w:color w:val="FFFFFF" w:themeColor="background1"/>
                <w:lang w:val="en-US"/>
              </w:rPr>
            </w:pPr>
            <w:r>
              <w:rPr>
                <w:rStyle w:val="SubtleReference"/>
                <w:rFonts w:cs="Arial" w:ascii="Arial Narrow" w:hAnsi="Arial Narrow"/>
                <w:b/>
                <w:color w:val="FFFFFF" w:themeColor="background1"/>
                <w:lang w:val="en-US"/>
              </w:rPr>
              <w:t>Seminar content</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tbl>
            <w:tblPr>
              <w:tblW w:w="843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Pr>
            <w:tblGrid>
              <w:gridCol w:w="1079"/>
              <w:gridCol w:w="4545"/>
              <w:gridCol w:w="1408"/>
              <w:gridCol w:w="1404"/>
            </w:tblGrid>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lineRule="auto" w:line="240" w:before="0" w:after="160"/>
                    <w:jc w:val="center"/>
                    <w:rPr>
                      <w:rFonts w:ascii="Arial Narrow" w:hAnsi="Arial Narrow"/>
                      <w:sz w:val="20"/>
                      <w:szCs w:val="20"/>
                    </w:rPr>
                  </w:pPr>
                  <w:r>
                    <w:rPr>
                      <w:rFonts w:ascii="Arial Narrow" w:hAnsi="Arial Narrow"/>
                      <w:sz w:val="20"/>
                      <w:szCs w:val="20"/>
                    </w:rPr>
                    <w:t>Week</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before="0" w:after="160"/>
                    <w:jc w:val="center"/>
                    <w:rPr>
                      <w:rFonts w:ascii="Arial Narrow" w:hAnsi="Arial Narrow"/>
                      <w:sz w:val="20"/>
                      <w:szCs w:val="20"/>
                    </w:rPr>
                  </w:pPr>
                  <w:r>
                    <w:rPr>
                      <w:rFonts w:ascii="Arial Narrow" w:hAnsi="Arial Narrow"/>
                      <w:sz w:val="20"/>
                      <w:szCs w:val="20"/>
                    </w:rPr>
                    <w:t>Title of seminar</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TableContents"/>
                    <w:spacing w:before="0" w:after="160"/>
                    <w:jc w:val="center"/>
                    <w:rPr>
                      <w:rFonts w:ascii="Arial Narrow" w:hAnsi="Arial Narrow"/>
                      <w:sz w:val="20"/>
                      <w:szCs w:val="20"/>
                    </w:rPr>
                  </w:pPr>
                  <w:r>
                    <w:rPr>
                      <w:rFonts w:ascii="Arial Narrow" w:hAnsi="Arial Narrow"/>
                      <w:sz w:val="20"/>
                      <w:szCs w:val="20"/>
                    </w:rPr>
                    <w:t>Teaching methods</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TableContents"/>
                    <w:spacing w:before="0" w:after="160"/>
                    <w:jc w:val="center"/>
                    <w:rPr>
                      <w:rFonts w:ascii="Arial Narrow" w:hAnsi="Arial Narrow"/>
                      <w:sz w:val="20"/>
                      <w:szCs w:val="20"/>
                    </w:rPr>
                  </w:pPr>
                  <w:r>
                    <w:rPr>
                      <w:rFonts w:ascii="Arial Narrow" w:hAnsi="Arial Narrow"/>
                      <w:sz w:val="20"/>
                      <w:szCs w:val="20"/>
                    </w:rPr>
                    <w:t xml:space="preserve">Duration </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 xml:space="preserve">1. </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 xml:space="preserve">Visit to the Museum of Mineralogy </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rPr>
                    <w:t>Debate</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2.</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Fonts w:cs="Arial" w:ascii="Arial Narrow" w:hAnsi="Arial Narrow"/>
                      <w:sz w:val="20"/>
                      <w:szCs w:val="20"/>
                      <w:lang w:val="fr-FR"/>
                    </w:rPr>
                    <w:t xml:space="preserve">Identification of the axes of symmetry of crystallographic forms </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hanging="0"/>
                    <w:jc w:val="center"/>
                    <w:rPr>
                      <w:rFonts w:ascii="Arial Narrow" w:hAnsi="Arial Narrow"/>
                      <w:sz w:val="20"/>
                      <w:szCs w:val="20"/>
                    </w:rPr>
                  </w:pPr>
                  <w:r>
                    <w:rPr>
                      <w:rFonts w:cs="Arial" w:ascii="Arial Narrow" w:hAnsi="Arial Narrow"/>
                      <w:sz w:val="20"/>
                      <w:szCs w:val="20"/>
                    </w:rPr>
                    <w:t>3.</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Fonts w:cs="Arial" w:ascii="Arial Narrow" w:hAnsi="Arial Narrow"/>
                      <w:sz w:val="20"/>
                      <w:szCs w:val="20"/>
                      <w:lang w:val="fr-FR"/>
                    </w:rPr>
                    <w:t xml:space="preserve">Identification of the axes of symmetry of crystallographic forms </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hanging="0"/>
                    <w:jc w:val="center"/>
                    <w:rPr>
                      <w:rFonts w:ascii="Arial Narrow" w:hAnsi="Arial Narrow"/>
                      <w:sz w:val="20"/>
                      <w:szCs w:val="20"/>
                    </w:rPr>
                  </w:pPr>
                  <w:r>
                    <w:rPr>
                      <w:rFonts w:cs="Arial" w:ascii="Arial Narrow" w:hAnsi="Arial Narrow"/>
                      <w:sz w:val="20"/>
                      <w:szCs w:val="20"/>
                    </w:rPr>
                    <w:t>4.</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pPr>
                  <w:r>
                    <w:rPr>
                      <w:rFonts w:cs="Arial" w:ascii="Arial Narrow" w:hAnsi="Arial Narrow"/>
                      <w:sz w:val="20"/>
                      <w:szCs w:val="20"/>
                      <w:lang w:val="fr-FR"/>
                    </w:rPr>
                    <w:t xml:space="preserve">Identification of the planes and centers of symmetry of crystallographic forms </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5.</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 xml:space="preserve">Identification of the planes and centers of symmetry of crystallographic forms </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6.</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of simple crystallographic forms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7.</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of simple crystallographic forms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8.</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of complex (composed) crystallographic forms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9.</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of complex (composed) crystallographic forms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10.</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of complex (composed) crystallographic forms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based on a model</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11.</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The petrographic microscope. Optical properties determined using parallel nicols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under the petrographic microscope</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12.</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The petrographic microscope. Optical properties determined using parallel nicols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under the petrographic microscope</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13.</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Optical properties determined using crossed nicols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under the petrographic microscope</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cs="Arial" w:ascii="Arial Narrow" w:hAnsi="Arial Narrow"/>
                      <w:sz w:val="20"/>
                      <w:szCs w:val="20"/>
                    </w:rPr>
                    <w:t>14.</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The petrographic microscope. Optical properties determined using crossed nicols</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Identification under the petrographic microscope</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cs="Arial" w:ascii="Arial Narrow" w:hAnsi="Arial Narrow"/>
                      <w:sz w:val="20"/>
                      <w:szCs w:val="20"/>
                      <w:lang w:val="fr-FR"/>
                    </w:rPr>
                    <w:t>2 hours</w:t>
                  </w:r>
                </w:p>
              </w:tc>
            </w:tr>
            <w:tr>
              <w:trPr/>
              <w:tc>
                <w:tcPr>
                  <w:tcW w:w="1079"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ind w:left="57" w:hanging="0"/>
                    <w:jc w:val="center"/>
                    <w:rPr>
                      <w:rFonts w:ascii="Arial Narrow" w:hAnsi="Arial Narrow"/>
                      <w:sz w:val="20"/>
                      <w:szCs w:val="20"/>
                    </w:rPr>
                  </w:pPr>
                  <w:r>
                    <w:rPr>
                      <w:rFonts w:ascii="Arial Narrow" w:hAnsi="Arial Narrow"/>
                      <w:sz w:val="20"/>
                      <w:szCs w:val="20"/>
                    </w:rPr>
                    <w:t xml:space="preserve">15. </w:t>
                  </w:r>
                </w:p>
              </w:tc>
              <w:tc>
                <w:tcPr>
                  <w:tcW w:w="4545"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ascii="Arial Narrow" w:hAnsi="Arial Narrow"/>
                      <w:sz w:val="20"/>
                      <w:szCs w:val="20"/>
                    </w:rPr>
                    <w:t>Oral exam</w:t>
                  </w:r>
                </w:p>
              </w:tc>
              <w:tc>
                <w:tcPr>
                  <w:tcW w:w="1408" w:type="dxa"/>
                  <w:tcBorders>
                    <w:top w:val="single" w:sz="2" w:space="0" w:color="000001"/>
                    <w:left w:val="single" w:sz="2" w:space="0" w:color="000001"/>
                    <w:bottom w:val="single" w:sz="2" w:space="0" w:color="000001"/>
                    <w:insideH w:val="single" w:sz="2" w:space="0" w:color="000001"/>
                  </w:tcBorders>
                  <w:shd w:fill="auto" w:val="clear"/>
                  <w:tcMar>
                    <w:left w:w="30" w:type="dxa"/>
                  </w:tcMar>
                </w:tcPr>
                <w:p>
                  <w:pPr>
                    <w:pStyle w:val="Normal"/>
                    <w:rPr>
                      <w:rFonts w:ascii="Arial Narrow" w:hAnsi="Arial Narrow"/>
                      <w:sz w:val="20"/>
                      <w:szCs w:val="20"/>
                    </w:rPr>
                  </w:pPr>
                  <w:r>
                    <w:rPr>
                      <w:rFonts w:ascii="Arial Narrow" w:hAnsi="Arial Narrow"/>
                      <w:sz w:val="20"/>
                      <w:szCs w:val="20"/>
                    </w:rPr>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tcPr>
                <w:p>
                  <w:pPr>
                    <w:pStyle w:val="Normal"/>
                    <w:rPr>
                      <w:rFonts w:ascii="Arial Narrow" w:hAnsi="Arial Narrow"/>
                      <w:sz w:val="20"/>
                      <w:szCs w:val="20"/>
                    </w:rPr>
                  </w:pPr>
                  <w:r>
                    <w:rPr>
                      <w:rFonts w:ascii="Arial Narrow" w:hAnsi="Arial Narrow"/>
                      <w:sz w:val="20"/>
                      <w:szCs w:val="20"/>
                    </w:rPr>
                    <w:t>2 hours</w:t>
                  </w:r>
                </w:p>
              </w:tc>
            </w:tr>
          </w:tbl>
          <w:p>
            <w:pPr>
              <w:pStyle w:val="Normal"/>
              <w:spacing w:lineRule="auto" w:line="240" w:before="0" w:after="0"/>
              <w:jc w:val="both"/>
              <w:rPr>
                <w:rFonts w:ascii="Arial Narrow" w:hAnsi="Arial Narrow" w:cs="Arial"/>
                <w:lang w:val="en-US"/>
              </w:rPr>
            </w:pPr>
            <w:r>
              <w:rPr>
                <w:rFonts w:cs="Arial" w:ascii="Arial Narrow" w:hAnsi="Arial Narrow"/>
                <w:lang w:val="en-US"/>
              </w:rPr>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F</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Recommended reading for seminars</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rStyle w:val="SubtleReference"/>
                <w:lang w:val="en-US"/>
              </w:rPr>
            </w:pPr>
            <w:r>
              <w:rPr>
                <w:lang w:val="en-US"/>
              </w:rPr>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rPr/>
            </w:pPr>
            <w:r>
              <w:rPr>
                <w:rFonts w:cs="Arial" w:ascii="Arial" w:hAnsi="Arial"/>
                <w:sz w:val="20"/>
                <w:szCs w:val="20"/>
              </w:rPr>
              <w:t>American Mineralogist Crystal Structure Database (http://webmineral.com/data/)</w:t>
            </w:r>
          </w:p>
          <w:p>
            <w:pPr>
              <w:pStyle w:val="Normal"/>
              <w:spacing w:lineRule="auto" w:line="240" w:before="0" w:after="0"/>
              <w:jc w:val="both"/>
              <w:rPr/>
            </w:pPr>
            <w:r>
              <w:rPr>
                <w:rFonts w:cs="Arial" w:ascii="Arial" w:hAnsi="Arial"/>
                <w:color w:val="000000" w:themeColor="text1"/>
                <w:sz w:val="20"/>
                <w:szCs w:val="20"/>
                <w:lang w:val="en-US"/>
              </w:rPr>
              <w:t>MacKenzie, W.S., Adams A.E. (1998). A Colour Atlas of Rocks and Minerals in Thin Section.</w:t>
            </w:r>
          </w:p>
          <w:p>
            <w:pPr>
              <w:pStyle w:val="Normal"/>
              <w:spacing w:lineRule="auto" w:line="240" w:before="0" w:after="0"/>
              <w:jc w:val="both"/>
              <w:rPr>
                <w:rFonts w:ascii="Arial Narrow" w:hAnsi="Arial Narrow" w:cs="Arial"/>
                <w:lang w:val="en-US"/>
              </w:rPr>
            </w:pPr>
            <w:r>
              <w:rPr>
                <w:rFonts w:cs="Arial" w:ascii="Arial" w:hAnsi="Arial"/>
                <w:color w:val="000000" w:themeColor="text1"/>
                <w:sz w:val="20"/>
                <w:szCs w:val="20"/>
                <w:lang w:val="en-US"/>
              </w:rPr>
              <w:t xml:space="preserve">      </w:t>
            </w:r>
            <w:r>
              <w:rPr>
                <w:rFonts w:cs="Arial" w:ascii="Arial" w:hAnsi="Arial"/>
                <w:color w:val="000000" w:themeColor="text1"/>
                <w:sz w:val="20"/>
                <w:szCs w:val="20"/>
                <w:lang w:val="en-US"/>
              </w:rPr>
              <w:t>Manson Publishing, London.</w:t>
            </w:r>
          </w:p>
        </w:tc>
      </w:tr>
      <w:tr>
        <w:trPr/>
        <w:tc>
          <w:tcPr>
            <w:tcW w:w="561"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rPr/>
            </w:pPr>
            <w:r>
              <w:rPr>
                <w:rStyle w:val="SubtleReference"/>
                <w:rFonts w:cs="Arial" w:ascii="Arial Narrow" w:hAnsi="Arial Narrow"/>
                <w:color w:val="FFFFFF" w:themeColor="background1"/>
                <w:lang w:val="en-US"/>
              </w:rPr>
              <w:t>G</w:t>
            </w:r>
          </w:p>
        </w:tc>
        <w:tc>
          <w:tcPr>
            <w:tcW w:w="8647"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A6A6A6" w:themeFill="background1" w:themeFillShade="a6" w:val="clear"/>
            <w:tcMar>
              <w:left w:w="58" w:type="dxa"/>
            </w:tcMar>
          </w:tcPr>
          <w:p>
            <w:pPr>
              <w:pStyle w:val="Normal"/>
              <w:spacing w:lineRule="auto" w:line="240" w:before="0" w:after="0"/>
              <w:jc w:val="both"/>
              <w:rPr/>
            </w:pPr>
            <w:r>
              <w:rPr>
                <w:rStyle w:val="SubtleReference"/>
                <w:rFonts w:cs="Arial" w:ascii="Arial Narrow" w:hAnsi="Arial Narrow"/>
                <w:b/>
                <w:color w:val="FFFFFF" w:themeColor="background1"/>
                <w:lang w:val="en-US"/>
              </w:rPr>
              <w:t>Education style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learning and teaching methods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jc w:val="both"/>
              <w:rPr/>
            </w:pPr>
            <w:r>
              <w:rPr>
                <w:rFonts w:cs="Arial" w:ascii="Arial Narrow" w:hAnsi="Arial Narrow"/>
                <w:color w:val="000000" w:themeColor="text1"/>
                <w:lang w:val="en-US"/>
              </w:rPr>
              <w:t>Lecture, problematization, debate, identification based on models and the petrographic microscope</w:t>
            </w:r>
          </w:p>
        </w:tc>
      </w:tr>
      <w:tr>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assessment methods</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000000" w:themeColor="text1"/>
                <w:lang w:val="en-US"/>
              </w:rPr>
              <w:t>Written exam (30%) and continuous assessment (30%) (lecture), oral exam and continuous assessment (seminar) – 40%</w:t>
            </w:r>
          </w:p>
        </w:tc>
      </w:tr>
      <w:tr>
        <w:trPr>
          <w:trHeight w:val="303" w:hRule="atLeast"/>
        </w:trPr>
        <w:tc>
          <w:tcPr>
            <w:tcW w:w="2971" w:type="dxa"/>
            <w:gridSpan w:val="2"/>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Style w:val="SubtleReference"/>
                <w:rFonts w:cs="Arial" w:ascii="Arial Narrow" w:hAnsi="Arial Narrow"/>
                <w:color w:val="000000" w:themeColor="text1"/>
                <w:lang w:val="en-US"/>
              </w:rPr>
              <w:t>Language of instruction</w:t>
            </w:r>
          </w:p>
        </w:tc>
        <w:tc>
          <w:tcPr>
            <w:tcW w:w="623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color="auto" w:fill="F2F2F2" w:themeFill="background1" w:themeFillShade="f2" w:val="clear"/>
            <w:tcMar>
              <w:left w:w="58" w:type="dxa"/>
            </w:tcMar>
          </w:tcPr>
          <w:p>
            <w:pPr>
              <w:pStyle w:val="Normal"/>
              <w:spacing w:lineRule="auto" w:line="240" w:before="0" w:after="0"/>
              <w:rPr/>
            </w:pPr>
            <w:r>
              <w:rPr>
                <w:rFonts w:cs="Arial" w:ascii="Arial Narrow" w:hAnsi="Arial Narrow"/>
                <w:color w:val="000000" w:themeColor="text1"/>
                <w:lang w:val="en-US"/>
              </w:rPr>
              <w:t xml:space="preserve">English </w:t>
            </w:r>
          </w:p>
        </w:tc>
      </w:tr>
    </w:tbl>
    <w:p>
      <w:pPr>
        <w:pStyle w:val="Normal"/>
        <w:spacing w:lineRule="auto" w:line="240"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Arial">
    <w:charset w:val="00"/>
    <w:family w:val="roman"/>
    <w:pitch w:val="variable"/>
  </w:font>
  <w:font w:name="Trebuchet MS">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2"/>
      <w:sz w:val="24"/>
      <w:szCs w:val="24"/>
      <w:lang w:val="en-US" w:eastAsia="zh-CN" w:bidi="hi-IN"/>
    </w:rPr>
  </w:style>
  <w:style w:type="paragraph" w:styleId="Heading5">
    <w:name w:val="Heading 5"/>
    <w:basedOn w:val="Normal"/>
    <w:next w:val="Normal"/>
    <w:qFormat/>
    <w:pPr>
      <w:keepNext/>
      <w:keepLines/>
      <w:spacing w:lineRule="auto" w:line="276" w:before="40" w:after="0"/>
      <w:outlineLvl w:val="4"/>
    </w:pPr>
    <w:rPr>
      <w:rFonts w:eastAsia="" w:cs="" w:asciiTheme="majorHAnsi" w:cstheme="majorBidi" w:eastAsiaTheme="majorEastAsia" w:hAnsiTheme="majorHAnsi"/>
      <w:color w:val="2E74B5" w:themeColor="accent1" w:themeShade="bf"/>
    </w:rPr>
  </w:style>
  <w:style w:type="character" w:styleId="DefaultParagraphFont">
    <w:name w:val="Default Paragraph Font"/>
    <w:qFormat/>
    <w:rPr/>
  </w:style>
  <w:style w:type="character" w:styleId="SubtleReference">
    <w:name w:val="Subtle Reference"/>
    <w:basedOn w:val="DefaultParagraphFont"/>
    <w:qFormat/>
    <w:rPr>
      <w:smallCaps/>
      <w:color w:val="5A5A5A" w:themeColor="text1" w:themeTint="a5"/>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21">
    <w:name w:val="ListLabel 121"/>
    <w:qFormat/>
    <w:rPr>
      <w:rFonts w:cs="Symbol"/>
      <w:color w:val="00000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Arial Narrow" w:hAnsi="Arial Narrow" w:cs="Symbol"/>
      <w:color w:val="000000"/>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Arial Narrow" w:hAnsi="Arial Narrow" w:cs="Symbol"/>
      <w:color w:val="000000"/>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Arial Narrow" w:hAnsi="Arial Narrow" w:cs="Symbol"/>
      <w:color w:val="000000"/>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ascii="Arial Narrow" w:hAnsi="Arial Narrow" w:cs="Symbol"/>
      <w:color w:val="000000"/>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color w:val="000000"/>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lineRule="auto" w:line="252" w:before="0" w:after="160"/>
      <w:ind w:left="720" w:hanging="0"/>
      <w:contextualSpacing/>
    </w:pPr>
    <w:rPr/>
  </w:style>
  <w:style w:type="paragraph" w:styleId="TableContents">
    <w:name w:val="Table Contents"/>
    <w:basedOn w:val="Normal"/>
    <w:qFormat/>
    <w:pPr/>
    <w:rPr/>
  </w:style>
  <w:style w:type="paragraph" w:styleId="Default">
    <w:name w:val="Default"/>
    <w:qFormat/>
    <w:pPr>
      <w:widowControl/>
      <w:bidi w:val="0"/>
      <w:spacing w:lineRule="auto" w:line="240" w:before="0" w:after="0"/>
      <w:jc w:val="left"/>
    </w:pPr>
    <w:rPr>
      <w:rFonts w:ascii="Arial" w:hAnsi="Arial" w:eastAsia="Calibri" w:cs="Arial"/>
      <w:color w:val="000000"/>
      <w:kern w:val="0"/>
      <w:sz w:val="24"/>
      <w:szCs w:val="24"/>
      <w:lang w:val="en-US" w:eastAsia="en-US" w:bidi="ar-SA"/>
    </w:rPr>
  </w:style>
  <w:style w:type="paragraph" w:styleId="ColorfulListAccent11">
    <w:name w:val="Colorful List - Accent 11"/>
    <w:basedOn w:val="Normal"/>
    <w:qFormat/>
    <w:pPr>
      <w:spacing w:before="0" w:after="0"/>
      <w:ind w:left="720" w:hanging="0"/>
      <w:contextualSpacing/>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1857</TotalTime>
  <Application>LibreOffice/5.4.1.2$Windows_x86 LibreOffice_project/ea7cb86e6eeb2bf3a5af73a8f7777ac570321527</Application>
  <Pages>3</Pages>
  <Words>698</Words>
  <Characters>4462</Characters>
  <CharactersWithSpaces>5042</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2020-02-25T10:44:50Z</dcterms:created>
  <dc:creator/>
  <dc:description/>
  <dc:language>en-US</dc:language>
  <cp:lastModifiedBy/>
  <dcterms:modified xsi:type="dcterms:W3CDTF">2020-07-15T15:42:31Z</dcterms:modified>
  <cp:revision>21</cp:revision>
  <dc:subject/>
  <dc:title/>
</cp:coreProperties>
</file>