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>Academic course description  – Environmental geochemistry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GEOCHEMISTRY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3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>RD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ND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09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b/>
                <w:b/>
                <w:color w:val="FFFFFF" w:themeColor="background1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ENVIRONMENTAL GEOCHEMISTRY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szCs w:val="20"/>
              </w:rPr>
              <w:t>31020030020SL1223144</w:t>
            </w:r>
            <w:r>
              <w:rPr>
                <w:rFonts w:cs="Arial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cycle (</w:t>
            </w:r>
            <w:r>
              <w:rPr>
                <w:rFonts w:cs="Arial" w:ascii="Arial Narrow" w:hAnsi="Arial Narrow"/>
                <w:color w:val="FF0000"/>
                <w:lang w:val="en-US"/>
              </w:rPr>
              <w:t>bachelor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3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rd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3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Assistant Lecturer Iuliana Buliga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Assistant Lecturer Iuliana Buliga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Geochemistry, Hydrogeochemistry, Biogeochemistry, Atmospheric Geochemistry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bookmarkStart w:id="2" w:name="__DdeLink__8065_589148328"/>
            <w:bookmarkEnd w:id="2"/>
            <w:r>
              <w:rPr>
                <w:rFonts w:cs="Arial" w:ascii="Arial Narrow" w:hAnsi="Arial Narrow"/>
                <w:lang w:val="en-US"/>
              </w:rPr>
              <w:t xml:space="preserve">Developing students’ interest for consulting relevant national and international sources in order to devise a research paper on a topic pertaining to the academic discipline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bookmarkStart w:id="3" w:name="__DdeLink__8065_5891483281"/>
            <w:bookmarkStart w:id="4" w:name="__DdeLink__8065_5891483281"/>
            <w:bookmarkEnd w:id="4"/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before="0" w:after="0"/>
              <w:ind w:left="41" w:hanging="0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Defining the main geospheres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Corroborating geological knowledge with information from related fields so as to identify the contaminants that affect each geosphere and explain the geological phenomena through which they are generated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Knowing the methodology required in the complete investigation of an environmental issue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Students accumulate general knowledge on the systemic approach to the environment in Geology: the environment, the geospheres, the interactions occurring within the geosystem, as well as on the structure, functioning and contamination of the geosystem with various compounds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Students analyze specific situations and devise plans for the tackling of environmental issues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Introduction to Environmental Geochemistry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Lecture based on video projection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atmosphere: atmospheric monitoring, EU directives, Atmospheric Geochemistry, atmospheric pollution in Romania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hydrosphere: monitoring water pollution,   EU directives.  Pollution with microelements,  mineral or organic chemical compounds. Wastewater sludge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Marine Geochemistry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pedosphere:  monitoring the biosphere  using moss and lichens. Agricultural soils and forest soils. EU directives. The geochemistry of  Fe, Al, Ti, Mn, Na, K, Ca, Mg,  S, N, P, C</w:t>
                  </w:r>
                  <w:r>
                    <w:rPr>
                      <w:rFonts w:cs="Arial" w:ascii="Arial Narrow" w:hAnsi="Arial Narrow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and heavy metals in agriculltural soils.  The geochemistry of forest soils.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permafrost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biosphere: biogeochemical aureolas on U, Mn, Cu, Pb and Zn mineralizations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Acid mine drainage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Weathering of clay minerals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Seismic and volcanic hazards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Global climate change: the greenhouse effect, the carbon cycle,  CO</w:t>
                  </w:r>
                  <w:r>
                    <w:rPr>
                      <w:rFonts w:ascii="Arial narrow" w:hAnsi="Arial narrow"/>
                      <w:sz w:val="20"/>
                      <w:szCs w:val="20"/>
                      <w:vertAlign w:val="subscript"/>
                    </w:rPr>
                    <w:t xml:space="preserve">2 </w:t>
                  </w:r>
                  <w:r>
                    <w:rPr>
                      <w:rFonts w:ascii="Arial narrow" w:hAnsi="Arial narrow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 and temperature variations, global warming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Non-renewable energy sources (fossil fuels)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Renewable energy sources (alternative energy)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5" w:name="__DdeLink__246_392982783"/>
                  <w:bookmarkEnd w:id="5"/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Geochemistry of solid   household waste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 based on video projection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7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 hours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ColorfulListAccent11"/>
              <w:spacing w:before="0" w:after="0"/>
              <w:ind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ro-RO"/>
              </w:rPr>
              <w:t xml:space="preserve">Manahan S. E., (2000)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ro-RO"/>
              </w:rPr>
              <w:t xml:space="preserve">– Fundamentals of Environmental Chemistry, </w:t>
            </w:r>
            <w:r>
              <w:rPr>
                <w:rFonts w:cs="Arial" w:ascii="Arial" w:hAnsi="Arial"/>
                <w:b w:val="false"/>
                <w:bCs w:val="false"/>
                <w:iCs/>
                <w:color w:val="000000"/>
                <w:sz w:val="20"/>
                <w:szCs w:val="20"/>
                <w:lang w:val="ro-RO"/>
              </w:rPr>
              <w:t xml:space="preserve">Second Ed., vol. I – III, </w:t>
            </w:r>
          </w:p>
          <w:p>
            <w:pPr>
              <w:pStyle w:val="ColorfulListAccent11"/>
              <w:spacing w:before="0" w:after="0"/>
              <w:ind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iCs/>
                <w:color w:val="000000"/>
                <w:sz w:val="20"/>
                <w:szCs w:val="20"/>
                <w:lang w:val="ro-RO"/>
              </w:rPr>
              <w:t>New York, 967 p.</w:t>
            </w:r>
          </w:p>
          <w:p>
            <w:pPr>
              <w:pStyle w:val="ColorfulListAccent11"/>
              <w:spacing w:before="0" w:after="0"/>
              <w:ind w:hanging="0"/>
              <w:contextualSpacing/>
              <w:rPr/>
            </w:pPr>
            <w:hyperlink r:id="rId2">
              <w:r>
                <w:rPr>
                  <w:rStyle w:val="InternetLink"/>
                  <w:rFonts w:cs="Arial" w:ascii="Arial" w:hAnsi="Arial"/>
                  <w:b w:val="false"/>
                  <w:bCs w:val="false"/>
                  <w:sz w:val="20"/>
                  <w:szCs w:val="20"/>
                </w:rPr>
                <w:t>http://mineral.gly.bris.ac.uk/envgeochem/index.shtml</w:t>
              </w:r>
            </w:hyperlink>
          </w:p>
          <w:p>
            <w:pPr>
              <w:pStyle w:val="ColorfulListAccent11"/>
              <w:spacing w:before="0" w:after="0"/>
              <w:ind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ro-RO"/>
              </w:rPr>
              <w:t xml:space="preserve">Cunningham, W. P., Woodworth Saigo, Barbara (1995) –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ro-RO"/>
              </w:rPr>
              <w:t>Environmental Science - A Global</w:t>
            </w:r>
          </w:p>
          <w:p>
            <w:pPr>
              <w:pStyle w:val="ColorfulListAccent11"/>
              <w:spacing w:before="0" w:after="0"/>
              <w:ind w:hanging="0"/>
              <w:contextualSpacing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ro-RO"/>
              </w:rPr>
              <w:t>Concern, 3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vertAlign w:val="superscript"/>
                <w:lang w:val="ro-RO"/>
              </w:rPr>
              <w:t>rd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ro-RO"/>
              </w:rPr>
              <w:t xml:space="preserve"> ed.,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ro-RO"/>
              </w:rPr>
              <w:t>W.C.B. Publish., Dubuque, U.S.A.</w:t>
            </w:r>
          </w:p>
          <w:p>
            <w:pPr>
              <w:pStyle w:val="ColorfulListAccent11"/>
              <w:spacing w:lineRule="auto" w:line="240" w:before="0" w:after="0"/>
              <w:ind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/>
              </w:rPr>
              <w:t xml:space="preserve">Lundgren W. L. (1999) –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0"/>
                <w:szCs w:val="20"/>
                <w:lang w:val="en-US"/>
              </w:rPr>
              <w:t>Environmental Geology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US"/>
              </w:rPr>
              <w:t>, Prentice Hall, New Jersey.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</w:tblPr>
            <w:tblGrid>
              <w:gridCol w:w="2109"/>
              <w:gridCol w:w="2109"/>
              <w:gridCol w:w="2109"/>
              <w:gridCol w:w="2109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Week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seminar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Atmospheric pollution. Smog, acid rain, the depletion of the ozone layer. Atmospheric pollution in Romania.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The pollution of water sources with industrial waste. The pollution of water sources with heavy metals.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Mine waters and acid mine drainage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Heavy metals in soils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permafrost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Energy sources: renewable and non-renewable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studies, documentary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Energy sources: renewable and non-renewable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studies, documentary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Seismic and volcanic hazards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studies, documentary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9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Recycling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Case studies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Visit to the water treatment station in Dancu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Fieldwork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Oral exam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3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1 hour 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ColorfulListAccent11"/>
              <w:spacing w:lineRule="auto" w:line="240" w:before="0" w:after="0"/>
              <w:ind w:left="720" w:hanging="0"/>
              <w:jc w:val="both"/>
              <w:rPr/>
            </w:pPr>
            <w:hyperlink r:id="rId3">
              <w:r>
                <w:rPr>
                  <w:rStyle w:val="InternetLink"/>
                  <w:rFonts w:cs="Arial" w:ascii="Arial" w:hAnsi="Arial"/>
                  <w:b/>
                  <w:bCs/>
                  <w:sz w:val="20"/>
                  <w:szCs w:val="20"/>
                  <w:lang w:val="en-US"/>
                </w:rPr>
                <w:t>http://mineral.gly.bris.ac.uk/envgeochem/index.shtml</w:t>
              </w:r>
            </w:hyperlink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SubtleReference"/>
                <w:rFonts w:ascii="Arial Narrow" w:hAnsi="Arial Narrow" w:cs="Arial"/>
                <w:b/>
                <w:b/>
                <w:color w:val="FFFFFF" w:themeColor="background1"/>
              </w:rPr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Lecture based on video projection, case studies, viewing of documentaries, individual study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Written exam and continuous assessment (lecture) – 57,5%, oral exam and continuous assessment (seminar) – 42,5%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54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09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lineRule="auto" w:line="276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lineRule="auto" w:line="276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lineRule="auto" w:line="276"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lineRule="auto" w:line="276"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0090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0090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0090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0090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b0090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InternetLink">
    <w:name w:val="Internet 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b0090f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0090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090f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0090f"/>
    <w:rPr>
      <w:color w:val="954F72" w:themeColor="followedHyperlink"/>
      <w:u w:val="single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0090f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009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0090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0090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character" w:styleId="Publicationtitle" w:customStyle="1">
    <w:name w:val="publication-title"/>
    <w:basedOn w:val="DefaultParagraphFont"/>
    <w:qFormat/>
    <w:rsid w:val="00b0090f"/>
    <w:rPr/>
  </w:style>
  <w:style w:type="character" w:styleId="HTMLCite">
    <w:name w:val="HTML Cite"/>
    <w:basedOn w:val="DefaultParagraphFont"/>
    <w:uiPriority w:val="99"/>
    <w:semiHidden/>
    <w:unhideWhenUsed/>
    <w:qFormat/>
    <w:rsid w:val="00b0090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b0090f"/>
    <w:rPr>
      <w:rFonts w:ascii="Calibri" w:hAnsi="Calibri" w:eastAsia="Calibri"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styleId="Fieldcontent" w:customStyle="1">
    <w:name w:val="field-content"/>
    <w:basedOn w:val="DefaultParagraphFont"/>
    <w:qFormat/>
    <w:rsid w:val="00b0090f"/>
    <w:rPr>
      <w:position w:val="0"/>
      <w:sz w:val="24"/>
      <w:sz w:val="24"/>
      <w:szCs w:val="24"/>
      <w:vertAlign w:val="baseline"/>
    </w:rPr>
  </w:style>
  <w:style w:type="character" w:styleId="Dt6" w:customStyle="1">
    <w:name w:val="dt6"/>
    <w:basedOn w:val="DefaultParagraphFont"/>
    <w:qFormat/>
    <w:rsid w:val="00b0090f"/>
    <w:rPr>
      <w:vanish w:val="false"/>
    </w:rPr>
  </w:style>
  <w:style w:type="character" w:styleId="Nowrap" w:customStyle="1">
    <w:name w:val="nowrap"/>
    <w:basedOn w:val="DefaultParagraphFont"/>
    <w:qFormat/>
    <w:rsid w:val="00b0090f"/>
    <w:rPr/>
  </w:style>
  <w:style w:type="character" w:styleId="ListLabel1">
    <w:name w:val="ListLabel 1"/>
    <w:qFormat/>
    <w:rPr>
      <w:rFonts w:ascii="Arial Narrow" w:hAnsi="Arial Narrow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Symbol"/>
      <w:color w:val="00000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color w:val="00000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color w:val="00000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color w:val="000000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color w:val="000000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color w:val="00000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color w:val="00000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color w:val="00000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color w:val="00000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0090f"/>
    <w:pPr>
      <w:spacing w:lineRule="auto" w:line="252"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0090f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spaiere" w:customStyle="1">
    <w:name w:val="Fără spațiere"/>
    <w:qFormat/>
    <w:rsid w:val="00b0090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b0090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b0090f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009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b0090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09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00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/>
    <w:rPr/>
  </w:style>
  <w:style w:type="paragraph" w:styleId="Contents2">
    <w:name w:val="TOC 2"/>
    <w:basedOn w:val="Normal"/>
    <w:next w:val="Normal"/>
    <w:autoRedefine/>
    <w:uiPriority w:val="39"/>
    <w:unhideWhenUsed/>
    <w:rsid w:val="00b0090f"/>
    <w:pPr>
      <w:spacing w:lineRule="auto" w:line="240" w:before="0" w:after="0"/>
      <w:ind w:left="216" w:hanging="0"/>
      <w:jc w:val="both"/>
    </w:pPr>
    <w:rPr>
      <w:rFonts w:ascii="Times New Roman" w:hAnsi="Times New Roman" w:eastAsia="" w:cs="Times New Roman" w:eastAsiaTheme="minorEastAsia"/>
      <w:b/>
    </w:rPr>
  </w:style>
  <w:style w:type="paragraph" w:styleId="Contents1">
    <w:name w:val="TOC 1"/>
    <w:basedOn w:val="Normal"/>
    <w:next w:val="Normal"/>
    <w:autoRedefine/>
    <w:uiPriority w:val="39"/>
    <w:unhideWhenUsed/>
    <w:rsid w:val="00b0090f"/>
    <w:pPr>
      <w:spacing w:lineRule="auto" w:line="240" w:before="0" w:after="0"/>
      <w:jc w:val="both"/>
    </w:pPr>
    <w:rPr>
      <w:rFonts w:ascii="Times New Roman" w:hAnsi="Times New Roman" w:eastAsia="" w:cs="Times New Roman" w:eastAsiaTheme="minorEastAsia"/>
      <w:b/>
      <w:bCs/>
      <w:sz w:val="24"/>
      <w:szCs w:val="24"/>
    </w:rPr>
  </w:style>
  <w:style w:type="paragraph" w:styleId="Contents3">
    <w:name w:val="TOC 3"/>
    <w:basedOn w:val="Normal"/>
    <w:next w:val="Normal"/>
    <w:autoRedefine/>
    <w:uiPriority w:val="39"/>
    <w:unhideWhenUsed/>
    <w:rsid w:val="00b0090f"/>
    <w:pPr>
      <w:spacing w:lineRule="auto" w:line="360" w:before="0" w:after="0"/>
      <w:ind w:firstLine="567"/>
      <w:jc w:val="both"/>
    </w:pPr>
    <w:rPr>
      <w:rFonts w:ascii="Times New Roman" w:hAnsi="Times New Roman" w:eastAsia="" w:cs="Times New Roman" w:eastAsiaTheme="minorEastAsia"/>
      <w:b/>
      <w:i/>
      <w:sz w:val="24"/>
      <w:szCs w:val="24"/>
    </w:rPr>
  </w:style>
  <w:style w:type="paragraph" w:styleId="Default" w:customStyle="1">
    <w:name w:val="Default"/>
    <w:qFormat/>
    <w:rsid w:val="00b0090f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en-US" w:bidi="ar-SA"/>
    </w:rPr>
  </w:style>
  <w:style w:type="paragraph" w:styleId="Elsbodytext" w:customStyle="1">
    <w:name w:val="Els-body-text"/>
    <w:qFormat/>
    <w:rsid w:val="00b0090f"/>
    <w:pPr>
      <w:keepNext/>
      <w:widowControl/>
      <w:bidi w:val="0"/>
      <w:spacing w:lineRule="exact" w:line="240" w:before="0" w:after="0"/>
      <w:ind w:firstLine="238"/>
      <w:jc w:val="both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US" w:eastAsia="en-US" w:bidi="ar-SA"/>
    </w:rPr>
  </w:style>
  <w:style w:type="paragraph" w:styleId="CharCharChar5CharCharCharCharCharCharCharCharCharChar" w:customStyle="1">
    <w:name w:val="Char Char Char5 Char Char Char Char Char Char Char Char Char Char"/>
    <w:basedOn w:val="Normal"/>
    <w:qFormat/>
    <w:rsid w:val="00b0090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harCharChar5CharCharCharCharCharCharCharCharCharChar1" w:customStyle="1">
    <w:name w:val="Char Char Char5 Char Char Char Char Char Char Char Char Char Char1"/>
    <w:basedOn w:val="Normal"/>
    <w:qFormat/>
    <w:rsid w:val="00b0090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1" w:customStyle="1">
    <w:name w:val="List Paragraph1"/>
    <w:basedOn w:val="Normal"/>
    <w:qFormat/>
    <w:rsid w:val="00b0090f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Yiv3298238648ydp76710786msonormal" w:customStyle="1">
    <w:name w:val="yiv3298238648ydp76710786msonormal"/>
    <w:basedOn w:val="Normal"/>
    <w:qFormat/>
    <w:rsid w:val="002a1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Yiv3298238648ydp76710786msolistparagraph" w:customStyle="1">
    <w:name w:val="yiv3298238648ydp76710786msolistparagraph"/>
    <w:basedOn w:val="Normal"/>
    <w:qFormat/>
    <w:rsid w:val="002a1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b00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eral.gly.bris.ac.uk/envgeochem/index.shtml" TargetMode="External"/><Relationship Id="rId3" Type="http://schemas.openxmlformats.org/officeDocument/2006/relationships/hyperlink" Target="http://mineral.gly.bris.ac.uk/envgeochem/index.s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LibreOffice/5.4.1.2$Windows_x86 LibreOffice_project/ea7cb86e6eeb2bf3a5af73a8f7777ac570321527</Application>
  <Pages>3</Pages>
  <Words>704</Words>
  <Characters>4164</Characters>
  <CharactersWithSpaces>4742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2019-06-24T11:11:00Z</dcterms:created>
  <dc:creator>Ioana</dc:creator>
  <dc:description/>
  <dc:language>en-US</dc:language>
  <cp:lastModifiedBy/>
  <dcterms:modified xsi:type="dcterms:W3CDTF">2020-07-15T16:34:53Z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