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>Academic course description  – igneous petrology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cs="Arial" w:ascii="Arial Narrow" w:hAnsi="Arial Narrow"/>
          <w:sz w:val="24"/>
          <w:szCs w:val="24"/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Bachelor’s DEGREE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>GEOCHEMISTRY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>n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US"/>
              </w:rPr>
              <w:t>d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 xml:space="preserve"> 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 xml:space="preserve">ND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10"/>
        <w:gridCol w:w="6237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>Igneous petrology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</w:rPr>
              <w:t>31020030020SL1112223</w:t>
            </w:r>
            <w:r>
              <w:rPr>
                <w:rFonts w:cs="Arial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cycle (</w:t>
            </w:r>
            <w:r>
              <w:rPr>
                <w:rFonts w:cs="Arial" w:ascii="Arial Narrow" w:hAnsi="Arial Narrow"/>
                <w:color w:val="FF0000"/>
                <w:lang w:val="en-US"/>
              </w:rPr>
              <w:t>bachelor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6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(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Assistant Professor Andrei Buzatu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Assistant Professor Andrei Buzatu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Mineralogy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General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Effectively using additional scholarly sources and assisted learning resources in order to devise a research paper on a topic pertaining to the academic discipline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Course-specific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Identifying, describing and defining the main groups of igneous rocks in relation to the geological processes that generate them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Appropriately using the instrumental methods necessary for the quantitative and qualitative evaluation of igneous rocks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Appropriately employing the information acquired so as to explain and interpret the igneous processes involved in rock formation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Learning outcomes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   </w:t>
            </w:r>
            <w:r>
              <w:rPr>
                <w:rFonts w:cs="Arial" w:ascii="Arial Narrow" w:hAnsi="Arial Narrow"/>
                <w:lang w:val="en-US"/>
              </w:rPr>
              <w:t xml:space="preserve">Upon completing the discipline, students become capable of: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describing the main groups of igneous rocks and the minerals that enter their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composition;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explaining the genesis of igneous rocks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using petrogenetic diagrams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analyzing igneous rocks both macroscopically and microscopically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calculating mineralogical compositions based on chemical analyses of major elements,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so as to use ternary diagrams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understanding the building of phase diagrams with 2-3 or 4 components and their role in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lang w:val="en-US"/>
              </w:rPr>
              <w:t xml:space="preserve">the study of igneous rocks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Lecture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8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Introduction. Magmas. The physico-chemical properties of magmas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Lecture based on video projection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 Arial narrow" w:hAnsi=" Arial narrow"/>
                    </w:rPr>
                  </w:pPr>
                  <w:r>
                    <w:rPr>
                      <w:rFonts w:cs="Arial" w:ascii=" Arial narrow" w:hAnsi=" Arial narrow"/>
                      <w:sz w:val="20"/>
                      <w:szCs w:val="20"/>
                    </w:rPr>
                    <w:t>4h; Buzgar, 2009; Hall, 1996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evolution of magmas: the differentiation between crystal-liquid, liquid-liquid and liquid-vapors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 w:before="0" w:after="160"/>
                    <w:ind w:left="57" w:hanging="0"/>
                    <w:jc w:val="center"/>
                    <w:rPr>
                      <w:rFonts w:ascii=" Arial narrow" w:hAnsi=" 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4h; Buzgar, 2009; Hall, 1996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Magma consolidation. Experimental systems with 2 components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 w:before="0" w:after="160"/>
                    <w:ind w:left="57" w:hanging="0"/>
                    <w:jc w:val="center"/>
                    <w:rPr>
                      <w:rFonts w:ascii=" Arial narrow" w:hAnsi=" 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4h; Buzgar, 2009; Hall, 1996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Magma consolidation. Igneous systems with 3 components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 w:before="0" w:after="160"/>
                    <w:ind w:left="57" w:hanging="0"/>
                    <w:jc w:val="center"/>
                    <w:rPr>
                      <w:rFonts w:ascii=" Arial narrow" w:hAnsi=" 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6h; Buzgar, 2009; Hall, 1996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Magma consolidation. Igneous systems with 4 components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 w:before="0" w:after="160"/>
                    <w:ind w:left="57" w:hanging="0"/>
                    <w:jc w:val="center"/>
                    <w:rPr>
                      <w:rFonts w:ascii=" Arial narrow" w:hAnsi=" 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1h; Buzgar, 2009; Hall, 1996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influence of pressure upon magma crystallization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 w:before="0" w:after="160"/>
                    <w:ind w:left="57" w:hanging="0"/>
                    <w:jc w:val="center"/>
                    <w:rPr>
                      <w:rFonts w:ascii=" Arial narrow" w:hAnsi=" 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3h; Buzgar, 2009; Hall, 1996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Igneous ores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 w:before="0" w:after="160"/>
                    <w:ind w:left="57" w:hanging="0"/>
                    <w:jc w:val="center"/>
                    <w:rPr>
                      <w:rFonts w:ascii=" Arial narrow" w:hAnsi=" 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3h; Buzgar, 2009; Hall, 1996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systematics and nomenclature of igneous rocks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 w:before="0" w:after="160"/>
                    <w:ind w:left="57" w:hanging="0"/>
                    <w:jc w:val="center"/>
                    <w:rPr>
                      <w:rFonts w:ascii=" Arial narrow" w:hAnsi=" 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3h; Buzgar, 2009; Hall, 1996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ColorfulListAccent11"/>
              <w:ind w:left="57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Main references: </w:t>
            </w:r>
          </w:p>
          <w:p>
            <w:pPr>
              <w:pStyle w:val="ColorfulListAccent11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ro-RO"/>
              </w:rPr>
              <w:t>Buzgar N. (2009)</w:t>
            </w:r>
            <w:r>
              <w:rPr>
                <w:rFonts w:cs="Arial" w:ascii="Arial" w:hAnsi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ro-RO"/>
              </w:rPr>
              <w:t xml:space="preserve">Petrologie magmatică. </w:t>
            </w:r>
            <w:r>
              <w:rPr>
                <w:rFonts w:cs="Arial" w:ascii="Arial" w:hAnsi="Arial"/>
                <w:sz w:val="20"/>
                <w:szCs w:val="20"/>
                <w:lang w:val="ro-RO"/>
              </w:rPr>
              <w:t>Ed. Tehnopres, Iași.</w:t>
            </w:r>
          </w:p>
          <w:p>
            <w:pPr>
              <w:pStyle w:val="ColorfulListAccent11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Hall A. (1996)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Igneous Petrology</w:t>
            </w:r>
            <w:r>
              <w:rPr>
                <w:rFonts w:cs="Arial" w:ascii="Arial" w:hAnsi="Arial"/>
                <w:sz w:val="20"/>
                <w:szCs w:val="20"/>
              </w:rPr>
              <w:t xml:space="preserve"> (2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 w:ascii="Arial" w:hAnsi="Arial"/>
                <w:sz w:val="20"/>
                <w:szCs w:val="20"/>
              </w:rPr>
              <w:t xml:space="preserve"> ed.). 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>Prentice Hall, Harlow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.</w:t>
            </w:r>
            <w:r>
              <w:rPr>
                <w:rFonts w:cs="Arial" w:ascii="Arial" w:hAnsi="Arial"/>
                <w:sz w:val="20"/>
                <w:szCs w:val="20"/>
                <w:lang w:val="ro-RO"/>
              </w:rPr>
              <w:t xml:space="preserve">  </w:t>
            </w:r>
          </w:p>
          <w:p>
            <w:pPr>
              <w:pStyle w:val="ColorfulListAccent11"/>
              <w:ind w:left="57" w:hanging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ColorfulListAccent11"/>
              <w:ind w:left="57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Additional references: </w:t>
            </w:r>
          </w:p>
          <w:p>
            <w:pPr>
              <w:pStyle w:val="ColorfulListAccent11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Carmichael I. S. E., Turner F. J., Verhoogen J. (1974)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Igneous Petrology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>. McGraw-Hill,  New York.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  <w:lang w:val="ro-RO"/>
              </w:rPr>
              <w:t xml:space="preserve"> </w:t>
            </w:r>
          </w:p>
          <w:p>
            <w:pPr>
              <w:pStyle w:val="ColorfulListAccent11"/>
              <w:ind w:left="57" w:hanging="0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</w:rPr>
              <w:t xml:space="preserve">Clarke D. B. (1993) 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Granitoid Rocks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  <w:lang w:val="ro-RO"/>
              </w:rPr>
              <w:t xml:space="preserve">Chapman 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>&amp; Hall, London.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  <w:lang w:val="ro-RO"/>
              </w:rPr>
              <w:t xml:space="preserve"> </w:t>
            </w:r>
          </w:p>
          <w:p>
            <w:pPr>
              <w:pStyle w:val="ColorfulListAccent11"/>
              <w:ind w:left="57" w:hanging="0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</w:rPr>
              <w:t xml:space="preserve">LeMaitre R. W. ( ed.) (1989) 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A Classification of Igneous Rocks and Glossary of Terms: Recommendations of the International Union of Geological Sciences, Subcommission on the Systematics of Igneous Rocks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>. Cambridge University Press, Cambridge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  <w:lang w:val="ro-RO"/>
              </w:rPr>
              <w:t>.</w:t>
            </w:r>
          </w:p>
          <w:p>
            <w:pPr>
              <w:pStyle w:val="ColorfulListAccent11"/>
              <w:ind w:left="57" w:hanging="0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</w:rPr>
              <w:t xml:space="preserve">Pitcher W. S. 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 xml:space="preserve">(1997)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The Nature and Origin of Granite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 xml:space="preserve"> (2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  <w:vertAlign w:val="superscript"/>
              </w:rPr>
              <w:t>nd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 xml:space="preserve"> ed). Chapman &amp; Hall, London.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  <w:lang w:val="ro-RO"/>
              </w:rPr>
              <w:t xml:space="preserve"> </w:t>
            </w:r>
          </w:p>
          <w:p>
            <w:pPr>
              <w:pStyle w:val="ColorfulListAccent11"/>
              <w:spacing w:before="0" w:after="0"/>
              <w:ind w:left="57" w:hanging="0"/>
              <w:contextualSpacing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lang w:val="ro-RO"/>
              </w:rPr>
              <w:t>Winter D. J. (2001)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lang w:val="ro-RO"/>
              </w:rPr>
              <w:t>An Introduction to Igneous and Metamorphic Petrology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o-RO"/>
              </w:rPr>
              <w:t>. Prentice Hall, New Jersey.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Seminar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4" w:type="dxa"/>
                <w:bottom w:w="55" w:type="dxa"/>
                <w:right w:w="55" w:type="dxa"/>
              </w:tblCellMar>
            </w:tblPr>
            <w:tblGrid>
              <w:gridCol w:w="2109"/>
              <w:gridCol w:w="2109"/>
              <w:gridCol w:w="2109"/>
              <w:gridCol w:w="2109"/>
            </w:tblGrid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Week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seminar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Minerals in igneous rocks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Video projection, observation/analysis of thin sections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 hours; electron microscope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structure of igneous rocks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Video projection, observation/analysis of thin sections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 hours; electron microscope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granite family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granodiorite family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diorite-andesite family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syenite-trachyte family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Assessment based on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basalt-gabbro family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foid-bearic syenite-phonolite family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Video projection, </w:t>
                  </w:r>
                  <w:bookmarkStart w:id="2" w:name="__DdeLink__2813_1211744530"/>
                  <w:bookmarkEnd w:id="2"/>
                  <w:r>
                    <w:rPr>
                      <w:rFonts w:ascii="Arial narrow" w:hAnsi="Arial narrow"/>
                      <w:sz w:val="20"/>
                      <w:szCs w:val="20"/>
                    </w:rPr>
                    <w:t>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Fieldwork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Observation/analysis of samples in the field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 hours; macroscopic samples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Fieldwork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Observation/analysis of samples in the field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 hours; macroscopic samples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Fieldwork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Observation/analysis of samples in the field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 hours; macroscopic samples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OAL NARROW" w:hAnsi="ArRO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OAL NARROW" w:hAnsi="ArRO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foidite-pholidolite family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iasl narrow" w:hAnsi="Arrias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iasl narrow" w:hAnsi="Arrias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Ultrabasic rocks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ial narrow" w:hAnsi="Ar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ial narrow" w:hAnsi="Ar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Calculation of QAP parameters. Tectono-magmatic diagrams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ial narrow" w:hAnsi="Ar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and case studies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rial narrow" w:hAnsi="Ar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 hours; geochemical diagrams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ColorfulListAccent11"/>
              <w:spacing w:lineRule="auto" w:line="240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ro-RO"/>
              </w:rPr>
              <w:t>Buzgar N. (2009)</w:t>
            </w:r>
            <w:r>
              <w:rPr>
                <w:rFonts w:cs="Arial" w:ascii="Arial" w:hAnsi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ro-RO"/>
              </w:rPr>
              <w:t xml:space="preserve">Petrologie magmatică. </w:t>
            </w:r>
            <w:r>
              <w:rPr>
                <w:rFonts w:cs="Arial" w:ascii="Arial" w:hAnsi="Arial"/>
                <w:sz w:val="20"/>
                <w:szCs w:val="20"/>
                <w:lang w:val="ro-RO"/>
              </w:rPr>
              <w:t>Ed. Tehnopres, Iași.</w:t>
            </w:r>
          </w:p>
          <w:p>
            <w:pPr>
              <w:pStyle w:val="ColorfulListAccent11"/>
              <w:spacing w:lineRule="auto" w:line="240" w:before="0" w:after="0"/>
              <w:ind w:left="57" w:hanging="0"/>
              <w:contextualSpacing/>
              <w:jc w:val="both"/>
              <w:rPr/>
            </w:pPr>
            <w:r>
              <w:rPr>
                <w:rStyle w:val="InternetLink"/>
                <w:rFonts w:cs="Arial" w:ascii="Arial" w:hAnsi="Arial"/>
                <w:b/>
                <w:bCs/>
                <w:color w:val="000000"/>
                <w:sz w:val="20"/>
                <w:szCs w:val="20"/>
                <w:u w:val="none"/>
                <w:lang w:val="en-US"/>
              </w:rPr>
              <w:t>Hall A. (1996)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en-US"/>
              </w:rPr>
              <w:t>Igneous Petrology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  <w:lang w:val="en-US"/>
              </w:rPr>
              <w:t xml:space="preserve"> (2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  <w:vertAlign w:val="superscript"/>
                <w:lang w:val="en-US"/>
              </w:rPr>
              <w:t>nd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  <w:lang w:val="en-US"/>
              </w:rPr>
              <w:t xml:space="preserve"> ed.). 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>Prentice Hall, Harlow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en-US"/>
              </w:rPr>
              <w:t>.</w:t>
            </w:r>
            <w:r>
              <w:rPr>
                <w:rStyle w:val="InternetLink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  <w:lang w:val="ro-RO"/>
              </w:rPr>
              <w:t xml:space="preserve">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Lecture based on video projection, </w:t>
            </w:r>
            <w:r>
              <w:rPr>
                <w:rFonts w:cs="Arial"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observation/analysis of thin sections and samples, case studies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Continuous assessment (35%) and exam (30%) (lecture) – 65%, continuous assessment and paper presentation (seminar) – 30%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0"/>
    <w:family w:val="auto"/>
    <w:pitch w:val="default"/>
  </w:font>
  <w:font w:name="Arial narrow">
    <w:charset w:val="00"/>
    <w:family w:val="roman"/>
    <w:pitch w:val="variable"/>
  </w:font>
  <w:font w:name=" Arial narrow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1"/>
    <w:family w:val="swiss"/>
    <w:pitch w:val="default"/>
  </w:font>
  <w:font w:name="ArROAL NARROW">
    <w:charset w:val="00"/>
    <w:family w:val="roman"/>
    <w:pitch w:val="variable"/>
  </w:font>
  <w:font w:name="Arriasl narrow">
    <w:charset w:val="00"/>
    <w:family w:val="roman"/>
    <w:pitch w:val="variable"/>
  </w:font>
  <w:font w:name="Ar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02">
    <w:name w:val="ListLabel 202"/>
    <w:qFormat/>
    <w:rPr>
      <w:rFonts w:cs="Symbol"/>
      <w:color w:val="00000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InternetLink">
    <w:name w:val="Internet Link"/>
    <w:basedOn w:val="DefaultParagraphFont"/>
    <w:rPr>
      <w:color w:val="0563C1" w:themeColor="hyperlink"/>
      <w:u w:val="single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  <w:color w:val="000000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  <w:color w:val="000000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hanging="0"/>
      <w:contextualSpacing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LibreOffice/5.4.1.2$Windows_x86 LibreOffice_project/ea7cb86e6eeb2bf3a5af73a8f7777ac570321527</Application>
  <Pages>3</Pages>
  <Words>814</Words>
  <Characters>4927</Characters>
  <CharactersWithSpaces>5628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2020-06-17T22:46:09Z</dcterms:created>
  <dc:creator/>
  <dc:description/>
  <dc:language>en-US</dc:language>
  <cp:lastModifiedBy/>
  <dcterms:modified xsi:type="dcterms:W3CDTF">2020-07-15T16:06:43Z</dcterms:modified>
  <cp:revision>42</cp:revision>
  <dc:subject/>
  <dc:title/>
</cp:coreProperties>
</file>