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Style w:val="SubtleReference"/>
          <w:rFonts w:cs="Arial" w:ascii="Arial Narrow" w:hAnsi="Arial Narrow"/>
          <w:sz w:val="24"/>
          <w:szCs w:val="24"/>
          <w:lang w:val="en-US"/>
        </w:rPr>
        <w:t>Academic course description  – paleontology I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cs="Arial" w:ascii="Arial Narrow" w:hAnsi="Arial Narrow"/>
          <w:sz w:val="24"/>
          <w:szCs w:val="24"/>
          <w:lang w:val="en-US"/>
        </w:rPr>
      </w:r>
    </w:p>
    <w:tbl>
      <w:tblPr>
        <w:tblStyle w:val="TableGrid"/>
        <w:tblW w:w="9209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9"/>
      </w:tblGrid>
      <w:tr>
        <w:trPr/>
        <w:tc>
          <w:tcPr>
            <w:tcW w:w="9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3" w:type="dxa"/>
            </w:tcMar>
          </w:tcPr>
          <w:p>
            <w:pPr>
              <w:pStyle w:val="Heading5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bachelor’s DEGREE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0000"/>
                <w:lang w:val="en-US"/>
              </w:rPr>
              <w:t xml:space="preserve">Geological engineering </w:t>
            </w:r>
          </w:p>
          <w:p>
            <w:pPr>
              <w:pStyle w:val="Heading5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/>
            </w:pPr>
            <w:r>
              <w:rPr>
                <w:rStyle w:val="SubtleReference"/>
                <w:rFonts w:cs="Arial" w:ascii="Arial Narrow" w:hAnsi="Arial Narrow"/>
                <w:color w:val="FF0000"/>
                <w:lang w:val="en-US"/>
              </w:rPr>
              <w:t>2</w:t>
            </w:r>
            <w:r>
              <w:rPr>
                <w:rStyle w:val="SubtleReference"/>
                <w:rFonts w:cs="Arial" w:ascii="Arial Narrow" w:hAnsi="Arial Narrow"/>
                <w:color w:val="CE181E"/>
                <w:vertAlign w:val="superscript"/>
                <w:lang w:val="en-US"/>
              </w:rPr>
              <w:t>nd</w:t>
            </w: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 xml:space="preserve"> YEAR OF STUDY, </w:t>
            </w: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1</w:t>
            </w:r>
            <w:r>
              <w:rPr>
                <w:rStyle w:val="SubtleReference"/>
                <w:rFonts w:cs="Arial" w:ascii="Arial Narrow" w:hAnsi="Arial Narrow"/>
                <w:color w:val="CE181E"/>
                <w:vertAlign w:val="superscript"/>
                <w:lang w:val="en-US"/>
              </w:rPr>
              <w:t>st</w:t>
            </w:r>
            <w:r>
              <w:rPr>
                <w:rStyle w:val="SubtleReference"/>
                <w:rFonts w:cs="Arial" w:ascii="Arial Narrow" w:hAnsi="Arial Narrow"/>
                <w:color w:val="FF0000"/>
                <w:lang w:val="en-US"/>
              </w:rPr>
              <w:t xml:space="preserve"> </w:t>
            </w: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SEMESTER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Style w:val="SubtleReference"/>
          <w:lang w:val="en-US"/>
        </w:rPr>
      </w:pPr>
      <w:bookmarkStart w:id="0" w:name="_GoBack"/>
      <w:bookmarkStart w:id="1" w:name="_GoBack"/>
      <w:bookmarkEnd w:id="1"/>
      <w:r>
        <w:rPr>
          <w:lang w:val="en-US"/>
        </w:rPr>
      </w:r>
    </w:p>
    <w:tbl>
      <w:tblPr>
        <w:tblStyle w:val="TableGrid"/>
        <w:tblW w:w="9270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"/>
        <w:gridCol w:w="2521"/>
        <w:gridCol w:w="6298"/>
      </w:tblGrid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Course title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0000"/>
                <w:lang w:val="en-US"/>
              </w:rPr>
              <w:t xml:space="preserve">Paleontology I 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Course code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b w:val="false"/>
                <w:i w:val="false"/>
                <w:caps w:val="false"/>
                <w:smallCaps w:val="false"/>
                <w:sz w:val="20"/>
              </w:rPr>
            </w:pPr>
            <w:r>
              <w:rPr>
                <w:rFonts w:cs="Arial" w:ascii="Trebuchet MS" w:hAnsi="Trebuchet MS"/>
                <w:b w:val="false"/>
                <w:i w:val="false"/>
                <w:caps w:val="false"/>
                <w:smallCaps w:val="false"/>
                <w:color w:val="FF0000"/>
                <w:sz w:val="20"/>
                <w:lang w:val="en-US"/>
              </w:rPr>
              <w:t xml:space="preserve">31120120010SL1212119 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Course type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Arial" w:ascii="Arial Narrow" w:hAnsi="Arial Narrow"/>
                <w:color w:val="FF0000"/>
                <w:lang w:val="en-US"/>
              </w:rPr>
              <w:t>full attendance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Course level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Arial" w:ascii="Arial Narrow" w:hAnsi="Arial Narrow"/>
                <w:color w:val="FF0000"/>
                <w:lang w:val="en-US"/>
              </w:rPr>
              <w:t>1</w:t>
            </w:r>
            <w:r>
              <w:rPr>
                <w:rFonts w:cs="Arial" w:ascii="Arial Narrow" w:hAnsi="Arial Narrow"/>
                <w:color w:val="FF0000"/>
                <w:vertAlign w:val="superscript"/>
                <w:lang w:val="en-US"/>
              </w:rPr>
              <w:t>st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>cycle (</w:t>
            </w:r>
            <w:r>
              <w:rPr>
                <w:rFonts w:cs="Arial" w:ascii="Arial Narrow" w:hAnsi="Arial Narrow"/>
                <w:color w:val="CE181E"/>
                <w:lang w:val="en-US"/>
              </w:rPr>
              <w:t>bachelo</w:t>
            </w:r>
            <w:r>
              <w:rPr>
                <w:rFonts w:cs="Arial" w:ascii="Arial Narrow" w:hAnsi="Arial Narrow"/>
                <w:color w:val="FF0000"/>
                <w:lang w:val="en-US"/>
              </w:rPr>
              <w:t>r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>’s degree)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Year of study, semester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Arial" w:ascii="Arial Narrow" w:hAnsi="Arial Narrow"/>
                <w:color w:val="FF0000"/>
                <w:lang w:val="en-US"/>
              </w:rPr>
              <w:t>2</w:t>
            </w:r>
            <w:r>
              <w:rPr>
                <w:rFonts w:cs="Arial" w:ascii="Arial Narrow" w:hAnsi="Arial Narrow"/>
                <w:color w:val="FF0000"/>
                <w:vertAlign w:val="superscript"/>
                <w:lang w:val="en-US"/>
              </w:rPr>
              <w:t>nd</w:t>
            </w:r>
            <w:r>
              <w:rPr>
                <w:rFonts w:cs="Arial" w:ascii="Arial Narrow" w:hAnsi="Arial Narrow"/>
                <w:color w:val="FF0000"/>
                <w:lang w:val="en-US"/>
              </w:rPr>
              <w:t xml:space="preserve"> 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>year of study,</w:t>
            </w:r>
            <w:r>
              <w:rPr>
                <w:rFonts w:cs="Arial" w:ascii="Arial Narrow" w:hAnsi="Arial Narrow"/>
                <w:color w:val="FF0000"/>
                <w:lang w:val="en-US"/>
              </w:rPr>
              <w:t xml:space="preserve"> 2</w:t>
            </w:r>
            <w:r>
              <w:rPr>
                <w:rFonts w:cs="Arial" w:ascii="Arial Narrow" w:hAnsi="Arial Narrow"/>
                <w:color w:val="FF0000"/>
                <w:vertAlign w:val="superscript"/>
                <w:lang w:val="en-US"/>
              </w:rPr>
              <w:t>nd</w:t>
            </w:r>
            <w:r>
              <w:rPr>
                <w:rFonts w:cs="Arial" w:ascii="Arial Narrow" w:hAnsi="Arial Narrow"/>
                <w:color w:val="FF0000"/>
                <w:lang w:val="en-US"/>
              </w:rPr>
              <w:t xml:space="preserve"> 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>semester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Number of ECTS credits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Arial" w:ascii="Arial Narrow" w:hAnsi="Arial Narrow"/>
                <w:color w:val="FF0000"/>
                <w:lang w:val="en-US"/>
              </w:rPr>
              <w:t>4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Number of hours per week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Arial" w:ascii="Arial Narrow" w:hAnsi="Arial Narrow"/>
                <w:color w:val="FF0000"/>
                <w:lang w:val="en-US"/>
              </w:rPr>
              <w:t>4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 (</w:t>
            </w:r>
            <w:r>
              <w:rPr>
                <w:rFonts w:cs="Arial" w:ascii="Arial Narrow" w:hAnsi="Arial Narrow"/>
                <w:color w:val="FF0000"/>
                <w:lang w:val="en-US"/>
              </w:rPr>
              <w:t>2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 lecture hours + </w:t>
            </w:r>
            <w:r>
              <w:rPr>
                <w:rFonts w:cs="Arial" w:ascii="Arial Narrow" w:hAnsi="Arial Narrow"/>
                <w:color w:val="FF0000"/>
                <w:lang w:val="en-US"/>
              </w:rPr>
              <w:t>2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 seminar hours)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Name of lecture holder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 Narrow" w:hAnsi="Arial Narrow"/>
                <w:b w:val="false"/>
                <w:bCs w:val="false"/>
                <w:color w:val="000000" w:themeColor="text1"/>
                <w:sz w:val="24"/>
                <w:szCs w:val="24"/>
                <w:lang w:val="en-US"/>
              </w:rPr>
              <w:t xml:space="preserve">Assistant Professor Paul </w:t>
            </w:r>
            <w:r>
              <w:rPr>
                <w:rFonts w:cs="Arial" w:ascii="Arial Narrow" w:hAnsi="Arial Narrow"/>
                <w:b w:val="false"/>
                <w:bCs w:val="false"/>
                <w:color w:val="000000" w:themeColor="text1"/>
                <w:sz w:val="24"/>
                <w:szCs w:val="24"/>
                <w:lang w:val="en-US" w:eastAsia="en-US"/>
              </w:rPr>
              <w:t>Ți</w:t>
            </w:r>
            <w:r>
              <w:rPr>
                <w:rFonts w:cs="Arial" w:ascii="Arial Narrow" w:hAnsi="Arial Narrow"/>
                <w:b w:val="false"/>
                <w:bCs w:val="false"/>
                <w:color w:val="000000" w:themeColor="text1"/>
                <w:sz w:val="24"/>
                <w:szCs w:val="24"/>
                <w:lang w:val="en-US"/>
              </w:rPr>
              <w:t>buleac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Name of seminar holder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 Narrow" w:hAnsi="Arial Narrow"/>
                <w:b w:val="false"/>
                <w:bCs w:val="false"/>
                <w:color w:val="000000" w:themeColor="text1"/>
                <w:sz w:val="24"/>
                <w:szCs w:val="24"/>
                <w:lang w:val="en-US"/>
              </w:rPr>
              <w:t xml:space="preserve">Assistant Professor Paul </w:t>
            </w:r>
            <w:r>
              <w:rPr>
                <w:rFonts w:cs="Arial" w:ascii="Arial Narrow" w:hAnsi="Arial Narrow"/>
                <w:b w:val="false"/>
                <w:bCs w:val="false"/>
                <w:color w:val="000000" w:themeColor="text1"/>
                <w:sz w:val="24"/>
                <w:szCs w:val="24"/>
                <w:lang w:val="en-US" w:eastAsia="en-US"/>
              </w:rPr>
              <w:t>Ți</w:t>
            </w:r>
            <w:r>
              <w:rPr>
                <w:rFonts w:cs="Arial" w:ascii="Arial Narrow" w:hAnsi="Arial Narrow"/>
                <w:b w:val="false"/>
                <w:bCs w:val="false"/>
                <w:color w:val="000000" w:themeColor="text1"/>
                <w:sz w:val="24"/>
                <w:szCs w:val="24"/>
                <w:lang w:val="en-US"/>
              </w:rPr>
              <w:t>buleac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Prerequisites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color w:val="FF0000"/>
              </w:rPr>
            </w:pPr>
            <w:r>
              <w:rPr>
                <w:rFonts w:cs="Arial" w:ascii="Arial Narrow" w:hAnsi="Arial Narrow"/>
                <w:color w:val="FF0000"/>
              </w:rPr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A</w:t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General and course-specific competences</w:t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lang w:val="en-US"/>
              </w:rPr>
            </w:pPr>
            <w:r>
              <w:rPr>
                <w:rFonts w:cs="Arial" w:ascii="Arial Narrow" w:hAnsi="Arial Narrow"/>
                <w:b/>
                <w:lang w:val="en-US"/>
              </w:rPr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rFonts w:cs="Arial" w:ascii="Arial Narrow" w:hAnsi="Arial Narrow"/>
                <w:b/>
                <w:lang w:val="en-US"/>
              </w:rPr>
              <w:t>General competences</w:t>
            </w:r>
            <w:r>
              <w:rPr>
                <w:rFonts w:cs="Arial" w:ascii="Arial Narrow" w:hAnsi="Arial Narrow"/>
                <w:lang w:val="en-US"/>
              </w:rPr>
              <w:t>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lang w:val="en-US"/>
              </w:rPr>
            </w:pPr>
            <w:r>
              <w:rPr>
                <w:rFonts w:cs="Arial" w:ascii="Arial Narrow" w:hAnsi="Arial Narrow"/>
                <w:lang w:val="en-US"/>
              </w:rPr>
              <w:t xml:space="preserve">Effectively using additional sources and assisted learning resources in order to devise a research paper on a topic pertaining to the academic discipline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lang w:val="en-US"/>
              </w:rPr>
            </w:pPr>
            <w:r>
              <w:rPr>
                <w:rFonts w:cs="Arial" w:ascii="Arial Narrow" w:hAnsi="Arial Narrow"/>
                <w:lang w:val="en-US"/>
              </w:rPr>
              <w:t>Improving teamwork abilities within a research team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ind w:left="41" w:hanging="0"/>
              <w:jc w:val="both"/>
              <w:rPr>
                <w:lang w:val="en-US"/>
              </w:rPr>
            </w:pPr>
            <w:r>
              <w:rPr>
                <w:rFonts w:cs="Arial" w:ascii="Arial Narrow" w:hAnsi="Arial Narrow"/>
                <w:b/>
                <w:lang w:val="en-US"/>
              </w:rPr>
              <w:t>Course-specific competences</w:t>
            </w:r>
            <w:r>
              <w:rPr>
                <w:rFonts w:cs="Arial" w:ascii="Arial Narrow" w:hAnsi="Arial Narrow"/>
                <w:lang w:val="en-US"/>
              </w:rPr>
              <w:t>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  <w:t xml:space="preserve">The analysis and solving of issues related to the field of Geological Engineering based on knowledge of the fossil assemblages in rocks and their biostratigraphic significance (relative dating)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  <w:t xml:space="preserve">The analysis and solving of issues related to the geological environment based on the paleontological, paleogeographic and paleoclimatic significances of fossil assemblages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  <w:t xml:space="preserve">The analysis and solving of issues related to the evaluation and extraction of geological resources through relative dating and biostratigraphic correlation methods </w:t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rFonts w:cs="Arial" w:ascii="Arial Narrow" w:hAnsi="Arial Narrow"/>
                <w:color w:val="FFFFFF" w:themeColor="background1"/>
                <w:lang w:val="en-US"/>
              </w:rPr>
              <w:t>B</w:t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Learning outcomes</w:t>
            </w:r>
          </w:p>
        </w:tc>
      </w:tr>
      <w:tr>
        <w:trPr>
          <w:trHeight w:val="3206" w:hRule="atLeast"/>
        </w:trPr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685" w:hanging="0"/>
              <w:contextualSpacing/>
              <w:jc w:val="both"/>
              <w:rPr>
                <w:lang w:val="en-US"/>
              </w:rPr>
            </w:pPr>
            <w:r>
              <w:rPr>
                <w:rFonts w:cs="Arial" w:ascii="Arial Narrow" w:hAnsi="Arial Narrow"/>
                <w:lang w:val="en-US"/>
              </w:rPr>
              <w:t xml:space="preserve">   </w:t>
            </w:r>
            <w:r>
              <w:rPr>
                <w:rFonts w:cs="Arial" w:ascii="Arial Narrow" w:hAnsi="Arial Narrow"/>
                <w:lang w:val="en-US"/>
              </w:rPr>
              <w:t xml:space="preserve">Upon completing the discipline, students become capable of: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/>
              <w:ind w:left="284" w:hanging="227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 w:eastAsia="en-US"/>
              </w:rPr>
              <w:t xml:space="preserve">explaining the relative dating of rocks and the delineation of the main eras in the geological history of the Earth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/>
              <w:ind w:left="284" w:hanging="227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 w:eastAsia="en-US"/>
              </w:rPr>
              <w:t>describing the main morphological characteristics of a fossil specimen belonging to major taxa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/>
              <w:ind w:left="284" w:hanging="227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 w:eastAsia="en-US"/>
              </w:rPr>
              <w:t xml:space="preserve">using the biostratigraphic significance of fossil assemblages in the correlation of layers in outcrops and wells and the evaluation and study of mineral resources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/>
              <w:ind w:left="284" w:hanging="227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 w:eastAsia="en-US"/>
              </w:rPr>
              <w:t xml:space="preserve">analyzing the significance of fossil assemblages in paleoenvironmental reconstructions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/>
              <w:ind w:left="284" w:hanging="227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 w:eastAsia="en-US"/>
              </w:rPr>
              <w:t>estimating the influence of various paleoenvironmental factors (bathymetry, salinity, temperature, currents etc.) which have instilled specific characteristics into sedimentary rock layers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/>
              <w:ind w:left="284" w:hanging="227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 w:eastAsia="en-US"/>
              </w:rPr>
              <w:t xml:space="preserve">processing paleontological samples in the laboratory 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685" w:hanging="0"/>
              <w:contextualSpacing/>
              <w:jc w:val="both"/>
              <w:rPr>
                <w:lang w:val="en-US"/>
              </w:rPr>
            </w:pPr>
            <w:r>
              <w:rPr>
                <w:rFonts w:cs="Arial" w:ascii="Arial Narrow" w:hAnsi="Arial Narrow"/>
                <w:lang w:val="en-US"/>
              </w:rPr>
              <w:t xml:space="preserve"> </w:t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C</w:t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Lecture content</w:t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color w:val="000000" w:themeColor="text1"/>
                <w:lang w:val="en-US"/>
              </w:rPr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</w:r>
          </w:p>
          <w:tbl>
            <w:tblPr>
              <w:tblW w:w="8427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9" w:type="dxa"/>
                <w:bottom w:w="55" w:type="dxa"/>
                <w:right w:w="55" w:type="dxa"/>
              </w:tblCellMar>
            </w:tblPr>
            <w:tblGrid>
              <w:gridCol w:w="2106"/>
              <w:gridCol w:w="2107"/>
              <w:gridCol w:w="2106"/>
              <w:gridCol w:w="2107"/>
            </w:tblGrid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Week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Title of lecture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Teaching methods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 xml:space="preserve">Duration 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Introduction. Fossils and fossilization. The importance of fossils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en-US"/>
                    </w:rPr>
                    <w:t>Lecture-debate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lang w:val="en-U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Landmarks in the history of Paleontology.  Elements of taxonomy and nomenclature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en-US"/>
                    </w:rPr>
                    <w:t>Lecture. Problematization.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lang w:val="en-U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en-US" w:eastAsia="en-US"/>
                    </w:rPr>
                    <w:t>3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/>
                  </w:pPr>
                  <w:r>
                    <w:rPr>
                      <w:rFonts w:cs="Arial" w:ascii="Arial" w:hAnsi="Arial"/>
                      <w:b/>
                      <w:sz w:val="18"/>
                      <w:szCs w:val="18"/>
                    </w:rPr>
                    <w:t xml:space="preserve">Superkingdom </w:t>
                  </w:r>
                  <w:r>
                    <w:rPr>
                      <w:rFonts w:cs="Arial" w:ascii="Arial" w:hAnsi="Arial"/>
                      <w:b/>
                      <w:i/>
                      <w:sz w:val="18"/>
                      <w:szCs w:val="18"/>
                    </w:rPr>
                    <w:t xml:space="preserve">Prokarya. </w:t>
                  </w:r>
                  <w:r>
                    <w:rPr>
                      <w:rFonts w:cs="Arial" w:ascii="Arial" w:hAnsi="Arial"/>
                      <w:b/>
                      <w:i w:val="false"/>
                      <w:iCs w:val="false"/>
                      <w:sz w:val="18"/>
                      <w:szCs w:val="18"/>
                    </w:rPr>
                    <w:t>Kingdom</w:t>
                  </w:r>
                  <w:r>
                    <w:rPr>
                      <w:rFonts w:cs="Arial" w:ascii="Arial" w:hAnsi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 w:ascii="Arial" w:hAnsi="Arial"/>
                      <w:b/>
                      <w:i/>
                      <w:sz w:val="18"/>
                      <w:szCs w:val="18"/>
                    </w:rPr>
                    <w:t>Bacteria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en-US"/>
                    </w:rPr>
                    <w:t>Lecture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/>
                  </w:pPr>
                  <w:r>
                    <w:rPr>
                      <w:rFonts w:cs="Arial" w:ascii="Arial" w:hAnsi="Arial"/>
                      <w:b/>
                      <w:sz w:val="18"/>
                      <w:szCs w:val="18"/>
                    </w:rPr>
                    <w:t xml:space="preserve">Superkingdom </w:t>
                  </w:r>
                  <w:r>
                    <w:rPr>
                      <w:rFonts w:cs="Arial" w:ascii="Arial" w:hAnsi="Arial"/>
                      <w:b/>
                      <w:i/>
                      <w:sz w:val="18"/>
                      <w:szCs w:val="18"/>
                    </w:rPr>
                    <w:t>Eukarya.</w:t>
                  </w:r>
                  <w:r>
                    <w:rPr>
                      <w:rFonts w:cs="Arial" w:ascii="Arial" w:hAnsi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 w:ascii="Arial" w:hAnsi="Arial"/>
                      <w:b/>
                      <w:bCs/>
                      <w:sz w:val="18"/>
                      <w:szCs w:val="18"/>
                    </w:rPr>
                    <w:t>Kingdom</w:t>
                  </w:r>
                  <w:r>
                    <w:rPr>
                      <w:rFonts w:cs="Arial" w:ascii="Arial" w:hAnsi="Arial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 w:ascii="Arial" w:hAnsi="Arial"/>
                      <w:b/>
                      <w:bCs/>
                      <w:i/>
                      <w:iCs/>
                      <w:sz w:val="18"/>
                      <w:szCs w:val="18"/>
                    </w:rPr>
                    <w:t>Protista:</w:t>
                  </w:r>
                  <w:r>
                    <w:rPr>
                      <w:rFonts w:cs="Arial" w:ascii="Arial" w:hAnsi="Arial"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 w:ascii="Arial" w:hAnsi="Arial"/>
                      <w:bCs/>
                      <w:i w:val="false"/>
                      <w:iCs w:val="false"/>
                      <w:sz w:val="18"/>
                      <w:szCs w:val="18"/>
                    </w:rPr>
                    <w:t>phylum</w:t>
                  </w:r>
                  <w:r>
                    <w:rPr>
                      <w:rFonts w:cs="Arial" w:ascii="Arial" w:hAnsi="Arial"/>
                      <w:bCs/>
                      <w:i/>
                      <w:iCs/>
                      <w:sz w:val="18"/>
                      <w:szCs w:val="18"/>
                    </w:rPr>
                    <w:t xml:space="preserve"> Granuloreticulosa</w:t>
                  </w:r>
                  <w:r>
                    <w:rPr>
                      <w:rFonts w:cs="Arial" w:ascii="Arial" w:hAnsi="Arial"/>
                      <w:bCs/>
                      <w:iCs/>
                      <w:sz w:val="18"/>
                      <w:szCs w:val="18"/>
                    </w:rPr>
                    <w:t>:</w:t>
                  </w:r>
                  <w:r>
                    <w:rPr>
                      <w:rFonts w:cs="Arial" w:ascii="Arial" w:hAnsi="Arial"/>
                      <w:bCs/>
                      <w:i/>
                      <w:iCs/>
                      <w:sz w:val="18"/>
                      <w:szCs w:val="18"/>
                    </w:rPr>
                    <w:t xml:space="preserve"> c</w:t>
                  </w:r>
                  <w:r>
                    <w:rPr>
                      <w:rFonts w:cs="Arial" w:ascii="Arial" w:hAnsi="Arial"/>
                      <w:bCs/>
                      <w:sz w:val="18"/>
                      <w:szCs w:val="18"/>
                    </w:rPr>
                    <w:t xml:space="preserve">lass </w:t>
                  </w:r>
                  <w:r>
                    <w:rPr>
                      <w:rFonts w:cs="Arial" w:ascii="Arial" w:hAnsi="Arial"/>
                      <w:bCs/>
                      <w:i/>
                      <w:iCs/>
                      <w:sz w:val="18"/>
                      <w:szCs w:val="18"/>
                    </w:rPr>
                    <w:t>Foraminiferea.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lang w:val="en-U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en-US"/>
                    </w:rPr>
                    <w:t>Lecture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lang w:val="en-U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en-US" w:eastAsia="en-US"/>
                    </w:rPr>
                    <w:t>3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/>
                  </w:pPr>
                  <w:r>
                    <w:rPr>
                      <w:rFonts w:cs="Arial" w:ascii="Arial" w:hAnsi="Arial"/>
                      <w:bCs/>
                      <w:sz w:val="18"/>
                      <w:szCs w:val="18"/>
                    </w:rPr>
                    <w:t xml:space="preserve">Phylum </w:t>
                  </w:r>
                  <w:r>
                    <w:rPr>
                      <w:rFonts w:cs="Arial" w:ascii="Arial" w:hAnsi="Arial"/>
                      <w:bCs/>
                      <w:i/>
                      <w:sz w:val="18"/>
                      <w:szCs w:val="18"/>
                    </w:rPr>
                    <w:t>Sarcomastigopora</w:t>
                  </w:r>
                  <w:r>
                    <w:rPr>
                      <w:rFonts w:cs="Arial" w:ascii="Arial" w:hAnsi="Arial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cs="Arial" w:ascii="Arial" w:hAnsi="Arial"/>
                      <w:bCs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 w:ascii="Arial" w:hAnsi="Arial"/>
                      <w:bCs/>
                      <w:i w:val="false"/>
                      <w:iCs w:val="false"/>
                      <w:sz w:val="18"/>
                      <w:szCs w:val="18"/>
                    </w:rPr>
                    <w:t>c</w:t>
                  </w:r>
                  <w:r>
                    <w:rPr>
                      <w:rFonts w:cs="Arial" w:ascii="Arial" w:hAnsi="Arial"/>
                      <w:bCs/>
                      <w:sz w:val="18"/>
                      <w:szCs w:val="18"/>
                    </w:rPr>
                    <w:t xml:space="preserve">lass </w:t>
                  </w:r>
                  <w:r>
                    <w:rPr>
                      <w:rFonts w:cs="Arial" w:ascii="Arial" w:hAnsi="Arial"/>
                      <w:bCs/>
                      <w:i/>
                      <w:iCs/>
                      <w:sz w:val="18"/>
                      <w:szCs w:val="18"/>
                    </w:rPr>
                    <w:t>Actinopoda.</w:t>
                  </w:r>
                  <w:r>
                    <w:rPr>
                      <w:rFonts w:cs="Arial" w:ascii="Arial" w:hAnsi="Arial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 w:ascii="Arial" w:hAnsi="Arial"/>
                      <w:i/>
                      <w:sz w:val="18"/>
                      <w:szCs w:val="18"/>
                    </w:rPr>
                    <w:t>Protista incertae sedis – Calpionellidae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en-US"/>
                    </w:rPr>
                    <w:t>Lecture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/>
                  </w:pPr>
                  <w:r>
                    <w:rPr>
                      <w:rFonts w:cs="Arial" w:ascii="Arial" w:hAnsi="Arial"/>
                      <w:b/>
                      <w:sz w:val="18"/>
                      <w:szCs w:val="18"/>
                    </w:rPr>
                    <w:t xml:space="preserve">Kingdoms </w:t>
                  </w:r>
                  <w:r>
                    <w:rPr>
                      <w:rFonts w:cs="Arial" w:ascii="Arial" w:hAnsi="Arial"/>
                      <w:b/>
                      <w:i/>
                      <w:sz w:val="18"/>
                      <w:szCs w:val="18"/>
                    </w:rPr>
                    <w:t xml:space="preserve">Chromista </w:t>
                  </w:r>
                  <w:r>
                    <w:rPr>
                      <w:rFonts w:cs="Arial" w:ascii="Arial" w:hAnsi="Arial"/>
                      <w:b/>
                      <w:i w:val="false"/>
                      <w:iCs w:val="false"/>
                      <w:sz w:val="18"/>
                      <w:szCs w:val="18"/>
                    </w:rPr>
                    <w:t>and</w:t>
                  </w:r>
                  <w:r>
                    <w:rPr>
                      <w:rFonts w:cs="Arial" w:ascii="Arial" w:hAnsi="Arial"/>
                      <w:b/>
                      <w:i/>
                      <w:sz w:val="18"/>
                      <w:szCs w:val="18"/>
                    </w:rPr>
                    <w:t xml:space="preserve"> Fungi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en-US"/>
                    </w:rPr>
                    <w:t>Lecture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en-US" w:eastAsia="en-US"/>
                    </w:rPr>
                    <w:t>2 hours</w:t>
                  </w:r>
                </w:p>
              </w:tc>
            </w:tr>
            <w:tr>
              <w:trPr>
                <w:trHeight w:val="1497" w:hRule="atLeast"/>
              </w:trPr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7</w:t>
                  </w:r>
                </w:p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r>
                </w:p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r>
                </w:p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/>
                  </w:pPr>
                  <w:r>
                    <w:rPr>
                      <w:rFonts w:cs="Arial" w:ascii="Arial" w:hAnsi="Arial"/>
                      <w:b/>
                      <w:bCs/>
                      <w:sz w:val="18"/>
                      <w:szCs w:val="18"/>
                    </w:rPr>
                    <w:t xml:space="preserve">Kingdom </w:t>
                  </w:r>
                  <w:r>
                    <w:rPr>
                      <w:rFonts w:cs="Arial" w:ascii="Arial" w:hAnsi="Arial"/>
                      <w:b/>
                      <w:bCs/>
                      <w:i/>
                      <w:iCs/>
                      <w:sz w:val="18"/>
                      <w:szCs w:val="18"/>
                    </w:rPr>
                    <w:t>Animalia:</w:t>
                  </w:r>
                  <w:r>
                    <w:rPr>
                      <w:rFonts w:cs="Arial" w:ascii="Arial" w:hAnsi="Arial"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 w:ascii="Arial" w:hAnsi="Arial"/>
                      <w:bCs/>
                      <w:i w:val="false"/>
                      <w:iCs w:val="false"/>
                      <w:sz w:val="18"/>
                      <w:szCs w:val="18"/>
                    </w:rPr>
                    <w:t>phy</w:t>
                  </w:r>
                  <w:r>
                    <w:rPr>
                      <w:rFonts w:cs="Arial" w:ascii="Arial" w:hAnsi="Arial"/>
                      <w:bCs/>
                      <w:sz w:val="18"/>
                      <w:szCs w:val="18"/>
                    </w:rPr>
                    <w:t xml:space="preserve">lum </w:t>
                  </w:r>
                  <w:r>
                    <w:rPr>
                      <w:rFonts w:cs="Arial" w:ascii="Arial" w:hAnsi="Arial"/>
                      <w:bCs/>
                      <w:i/>
                      <w:iCs/>
                      <w:sz w:val="18"/>
                      <w:szCs w:val="18"/>
                    </w:rPr>
                    <w:t>Porifera</w:t>
                  </w:r>
                  <w:r>
                    <w:rPr>
                      <w:rFonts w:cs="Arial" w:ascii="Arial" w:hAnsi="Arial"/>
                      <w:bCs/>
                      <w:iCs/>
                      <w:sz w:val="18"/>
                      <w:szCs w:val="18"/>
                    </w:rPr>
                    <w:t>;</w:t>
                  </w:r>
                  <w:r>
                    <w:rPr>
                      <w:rFonts w:cs="Arial" w:ascii="Arial" w:hAnsi="Arial"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bookmarkStart w:id="2" w:name="__DdeLink__11223_2155390914"/>
                  <w:r>
                    <w:rPr>
                      <w:rFonts w:cs="Arial" w:ascii="Arial" w:hAnsi="Arial"/>
                      <w:bCs/>
                      <w:i/>
                      <w:iCs/>
                      <w:sz w:val="18"/>
                      <w:szCs w:val="18"/>
                    </w:rPr>
                    <w:t>Archaeocyath</w:t>
                  </w:r>
                  <w:bookmarkEnd w:id="2"/>
                  <w:r>
                    <w:rPr>
                      <w:rFonts w:cs="Arial" w:ascii="Arial" w:hAnsi="Arial"/>
                      <w:bCs/>
                      <w:i/>
                      <w:i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lang w:val="en-U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en-US"/>
                    </w:rPr>
                    <w:t>Lecture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lang w:val="en-U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/>
                  </w:pPr>
                  <w:r>
                    <w:rPr>
                      <w:rFonts w:cs="Arial" w:ascii="Arial" w:hAnsi="Arial"/>
                      <w:bCs/>
                      <w:sz w:val="18"/>
                      <w:szCs w:val="18"/>
                    </w:rPr>
                    <w:t xml:space="preserve">Phylum </w:t>
                  </w:r>
                  <w:r>
                    <w:rPr>
                      <w:rFonts w:cs="Arial" w:ascii="Arial" w:hAnsi="Arial"/>
                      <w:bCs/>
                      <w:i/>
                      <w:iCs/>
                      <w:sz w:val="18"/>
                      <w:szCs w:val="18"/>
                    </w:rPr>
                    <w:t>Cnidaria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lang w:val="en-U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en-US"/>
                    </w:rPr>
                    <w:t>Lecture. Problematization.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/>
                  </w:pPr>
                  <w:r>
                    <w:rPr>
                      <w:rFonts w:cs="Arial" w:ascii="Arial" w:hAnsi="Arial"/>
                      <w:bCs/>
                      <w:sz w:val="18"/>
                      <w:szCs w:val="18"/>
                    </w:rPr>
                    <w:t xml:space="preserve">Phylum </w:t>
                  </w:r>
                  <w:r>
                    <w:rPr>
                      <w:rFonts w:cs="Arial" w:ascii="Arial" w:hAnsi="Arial"/>
                      <w:bCs/>
                      <w:i/>
                      <w:sz w:val="18"/>
                      <w:szCs w:val="18"/>
                    </w:rPr>
                    <w:t>Mollusca</w:t>
                  </w:r>
                  <w:r>
                    <w:rPr>
                      <w:rFonts w:cs="Arial" w:ascii="Arial" w:hAnsi="Arial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cs="Arial" w:ascii="Arial" w:hAnsi="Arial"/>
                      <w:bCs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>Introduction.</w:t>
                  </w:r>
                  <w:r>
                    <w:rPr>
                      <w:rFonts w:cs="Arial" w:ascii="Arial" w:hAnsi="Arial"/>
                      <w:bCs/>
                      <w:sz w:val="18"/>
                      <w:szCs w:val="18"/>
                    </w:rPr>
                    <w:t xml:space="preserve"> Subphylum </w:t>
                  </w:r>
                  <w:r>
                    <w:rPr>
                      <w:rFonts w:cs="Arial" w:ascii="Arial" w:hAnsi="Arial"/>
                      <w:bCs/>
                      <w:i/>
                      <w:sz w:val="18"/>
                      <w:szCs w:val="18"/>
                    </w:rPr>
                    <w:t>Amphineura</w:t>
                  </w:r>
                  <w:r>
                    <w:rPr>
                      <w:rFonts w:cs="Arial" w:ascii="Arial" w:hAnsi="Arial"/>
                      <w:bCs/>
                      <w:iCs/>
                      <w:sz w:val="18"/>
                      <w:szCs w:val="18"/>
                    </w:rPr>
                    <w:t xml:space="preserve"> Subphylum </w:t>
                  </w:r>
                  <w:r>
                    <w:rPr>
                      <w:rFonts w:cs="Arial" w:ascii="Arial" w:hAnsi="Arial"/>
                      <w:bCs/>
                      <w:i/>
                      <w:iCs/>
                      <w:sz w:val="18"/>
                      <w:szCs w:val="18"/>
                    </w:rPr>
                    <w:t>Cyrtosoma</w:t>
                  </w:r>
                  <w:r>
                    <w:rPr>
                      <w:rFonts w:cs="Arial" w:ascii="Arial" w:hAnsi="Arial"/>
                      <w:bCs/>
                      <w:iCs/>
                      <w:sz w:val="18"/>
                      <w:szCs w:val="18"/>
                    </w:rPr>
                    <w:t>:</w:t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 Class </w:t>
                  </w:r>
                  <w:r>
                    <w:rPr>
                      <w:rFonts w:cs="Arial" w:ascii="Arial" w:hAnsi="Arial"/>
                      <w:i/>
                      <w:iCs/>
                      <w:sz w:val="18"/>
                      <w:szCs w:val="18"/>
                    </w:rPr>
                    <w:t>Gastropoda</w:t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lang w:val="en-U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en-US"/>
                    </w:rPr>
                    <w:t>Lecture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lang w:val="en-U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Class </w:t>
                  </w:r>
                  <w:r>
                    <w:rPr>
                      <w:rFonts w:cs="Arial" w:ascii="Arial" w:hAnsi="Arial"/>
                      <w:i/>
                      <w:iCs/>
                      <w:sz w:val="18"/>
                      <w:szCs w:val="18"/>
                    </w:rPr>
                    <w:t>Cephalopoda</w:t>
                  </w:r>
                  <w:r>
                    <w:rPr>
                      <w:rFonts w:cs="Arial" w:ascii="Arial" w:hAnsi="Arial"/>
                      <w:iCs/>
                      <w:sz w:val="18"/>
                      <w:szCs w:val="18"/>
                    </w:rPr>
                    <w:t>:</w:t>
                  </w:r>
                  <w:r>
                    <w:rPr>
                      <w:rFonts w:cs="Arial" w:ascii="Arial" w:hAnsi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Subclasses </w:t>
                  </w:r>
                  <w:r>
                    <w:rPr>
                      <w:rFonts w:cs="Arial" w:ascii="Arial" w:hAnsi="Arial"/>
                      <w:i/>
                      <w:sz w:val="18"/>
                      <w:szCs w:val="18"/>
                    </w:rPr>
                    <w:t xml:space="preserve">Endoceratoidea, Actinoceratoidea, Bactritoidea. </w:t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Subclass </w:t>
                  </w:r>
                  <w:r>
                    <w:rPr>
                      <w:rFonts w:cs="Arial" w:ascii="Arial" w:hAnsi="Arial"/>
                      <w:i/>
                      <w:iCs/>
                      <w:sz w:val="18"/>
                      <w:szCs w:val="18"/>
                    </w:rPr>
                    <w:t>Nautiloidea.</w:t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 Subclass </w:t>
                  </w:r>
                  <w:r>
                    <w:rPr>
                      <w:rFonts w:cs="Arial" w:ascii="Arial" w:hAnsi="Arial"/>
                      <w:i/>
                      <w:iCs/>
                      <w:sz w:val="18"/>
                      <w:szCs w:val="18"/>
                    </w:rPr>
                    <w:t>Ammonoidea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lang w:val="en-U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en-US"/>
                    </w:rPr>
                    <w:t xml:space="preserve">Lecture. Demonstration. 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lang w:val="en-U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Class </w:t>
                  </w:r>
                  <w:r>
                    <w:rPr>
                      <w:rFonts w:cs="Arial" w:ascii="Arial" w:hAnsi="Arial"/>
                      <w:i/>
                      <w:iCs/>
                      <w:sz w:val="18"/>
                      <w:szCs w:val="18"/>
                    </w:rPr>
                    <w:t>Cephalopoda</w:t>
                  </w:r>
                  <w:r>
                    <w:rPr>
                      <w:rFonts w:cs="Arial" w:ascii="Arial" w:hAnsi="Arial"/>
                      <w:iCs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Subclass </w:t>
                  </w:r>
                  <w:r>
                    <w:rPr>
                      <w:rFonts w:cs="Arial" w:ascii="Arial" w:hAnsi="Arial"/>
                      <w:i/>
                      <w:iCs/>
                      <w:sz w:val="18"/>
                      <w:szCs w:val="18"/>
                    </w:rPr>
                    <w:t>Ammonoidea. Aptichi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lang w:val="en-U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en-US"/>
                    </w:rPr>
                    <w:t>Lecture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lang w:val="en-U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en-US" w:eastAsia="en-US"/>
                    </w:rPr>
                    <w:t>4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jc w:val="both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Subclass </w:t>
                  </w:r>
                  <w:r>
                    <w:rPr>
                      <w:rFonts w:cs="Arial" w:ascii="Arial" w:hAnsi="Arial"/>
                      <w:i/>
                      <w:sz w:val="18"/>
                      <w:szCs w:val="18"/>
                    </w:rPr>
                    <w:t>Coleoidea</w:t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 (Orders </w:t>
                  </w:r>
                  <w:r>
                    <w:rPr>
                      <w:rFonts w:cs="Arial" w:ascii="Arial" w:hAnsi="Arial"/>
                      <w:i/>
                      <w:sz w:val="18"/>
                      <w:szCs w:val="18"/>
                    </w:rPr>
                    <w:t>Aulacocerida</w:t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cs="Arial" w:ascii="Arial" w:hAnsi="Arial"/>
                      <w:i/>
                      <w:sz w:val="18"/>
                      <w:szCs w:val="18"/>
                    </w:rPr>
                    <w:t>Belemnitida</w:t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>)</w:t>
                  </w:r>
                </w:p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i/>
                      <w:i/>
                      <w:iCs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" w:hAnsi="Arial"/>
                      <w:i/>
                      <w:iCs/>
                      <w:sz w:val="18"/>
                      <w:szCs w:val="18"/>
                      <w:lang w:val="en-US" w:eastAsia="en-US"/>
                    </w:rPr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lang w:val="en-U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en-US"/>
                    </w:rPr>
                    <w:t>Lecture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lang w:val="en-U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en-US" w:eastAsia="en-US"/>
                    </w:rPr>
                    <w:t>2 hours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cs="Arial" w:ascii="Arial Narrow" w:hAnsi="Arial Narrow"/>
                <w:lang w:val="en-US"/>
              </w:rPr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D</w:t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Recommended reading for lectures</w:t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TextBody"/>
              <w:ind w:left="567" w:hanging="567"/>
              <w:rPr/>
            </w:pPr>
            <w:r>
              <w:rPr>
                <w:rFonts w:cs="Arial" w:ascii="Arial" w:hAnsi="Arial"/>
                <w:sz w:val="18"/>
                <w:szCs w:val="18"/>
                <w:lang w:val="pt-BR" w:eastAsia="en-US"/>
              </w:rPr>
              <w:t xml:space="preserve">Hanganu Elisabeta, Şuraru N., Griogorescu D. (1986) - </w:t>
            </w:r>
            <w:r>
              <w:rPr>
                <w:rFonts w:cs="Arial" w:ascii="Arial" w:hAnsi="Arial"/>
                <w:iCs/>
                <w:sz w:val="18"/>
                <w:szCs w:val="18"/>
                <w:lang w:val="pt-BR" w:eastAsia="en-US"/>
              </w:rPr>
              <w:t>Paleontologie</w:t>
            </w:r>
            <w:r>
              <w:rPr>
                <w:rFonts w:cs="Arial" w:ascii="Arial" w:hAnsi="Arial"/>
                <w:sz w:val="18"/>
                <w:szCs w:val="18"/>
                <w:lang w:val="pt-BR" w:eastAsia="en-US"/>
              </w:rPr>
              <w:t xml:space="preserve">,  </w:t>
            </w:r>
            <w:r>
              <w:rPr>
                <w:rFonts w:cs="Arial" w:ascii="Arial" w:hAnsi="Arial"/>
                <w:i/>
                <w:sz w:val="18"/>
                <w:szCs w:val="18"/>
                <w:lang w:val="pt-BR" w:eastAsia="en-US"/>
              </w:rPr>
              <w:t xml:space="preserve">Editura </w:t>
            </w:r>
            <w:r>
              <w:rPr>
                <w:rFonts w:cs="Arial" w:ascii="Arial" w:hAnsi="Arial"/>
                <w:i/>
                <w:sz w:val="18"/>
                <w:szCs w:val="18"/>
                <w:lang w:val="en-US" w:eastAsia="en-US"/>
              </w:rPr>
              <w:t>Didactică şi Pedagogică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 xml:space="preserve"> Bucureşti, 456 p.</w:t>
            </w:r>
          </w:p>
          <w:p>
            <w:pPr>
              <w:pStyle w:val="TextBody"/>
              <w:rPr/>
            </w:pP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 xml:space="preserve">Turculeţ I., (1996) – </w:t>
            </w:r>
            <w:r>
              <w:rPr>
                <w:rFonts w:cs="Arial" w:ascii="Arial" w:hAnsi="Arial"/>
                <w:iCs/>
                <w:sz w:val="18"/>
                <w:szCs w:val="18"/>
                <w:lang w:val="en-US" w:eastAsia="en-US"/>
              </w:rPr>
              <w:t>Dicţionar de paleontologie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 xml:space="preserve">. </w:t>
            </w:r>
            <w:r>
              <w:rPr>
                <w:rFonts w:cs="Arial" w:ascii="Arial" w:hAnsi="Arial"/>
                <w:i/>
                <w:sz w:val="18"/>
                <w:szCs w:val="18"/>
                <w:lang w:val="en-US" w:eastAsia="en-US"/>
              </w:rPr>
              <w:t>Editura Universităţii „Al. I. Cuza”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pt-BR" w:eastAsia="en-US"/>
              </w:rPr>
              <w:t>Iaşi, 262 p., 26 pl.,</w:t>
            </w:r>
          </w:p>
          <w:p>
            <w:pPr>
              <w:pStyle w:val="TextBody"/>
              <w:rPr/>
            </w:pPr>
            <w:r>
              <w:rPr>
                <w:rFonts w:cs="Arial" w:ascii="Arial" w:hAnsi="Arial"/>
                <w:sz w:val="18"/>
                <w:szCs w:val="18"/>
                <w:lang w:val="pt-BR" w:eastAsia="en-US"/>
              </w:rPr>
              <w:t xml:space="preserve">           </w:t>
            </w:r>
            <w:r>
              <w:rPr>
                <w:rFonts w:cs="Arial" w:ascii="Arial" w:hAnsi="Arial"/>
                <w:sz w:val="18"/>
                <w:szCs w:val="18"/>
                <w:lang w:val="pt-BR" w:eastAsia="en-US"/>
              </w:rPr>
              <w:t>addenda.</w:t>
            </w:r>
          </w:p>
          <w:p>
            <w:pPr>
              <w:pStyle w:val="TextBody"/>
              <w:spacing w:before="0" w:after="140"/>
              <w:rPr/>
            </w:pPr>
            <w:bookmarkStart w:id="3" w:name="__DdeLink__1614_786230372"/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Ţi</w:t>
            </w:r>
            <w:bookmarkEnd w:id="3"/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 xml:space="preserve">buleac P. (2006) – Paleontologie. Vol. I. </w:t>
            </w:r>
            <w:r>
              <w:rPr>
                <w:rFonts w:cs="Arial" w:ascii="Arial" w:hAnsi="Arial"/>
                <w:i/>
                <w:sz w:val="18"/>
                <w:szCs w:val="18"/>
                <w:lang w:val="en-US" w:eastAsia="en-US"/>
              </w:rPr>
              <w:t>Ed. Tehnopress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 xml:space="preserve">, Iaşi, 366 p. </w:t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E</w:t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Seminar content</w:t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tbl>
            <w:tblPr>
              <w:tblW w:w="8437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15" w:type="dxa"/>
                <w:bottom w:w="55" w:type="dxa"/>
                <w:right w:w="55" w:type="dxa"/>
              </w:tblCellMar>
            </w:tblPr>
            <w:tblGrid>
              <w:gridCol w:w="2109"/>
              <w:gridCol w:w="2109"/>
              <w:gridCol w:w="2109"/>
              <w:gridCol w:w="2109"/>
            </w:tblGrid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TableContents"/>
                    <w:spacing w:lineRule="auto" w:line="240" w:before="0" w:after="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 xml:space="preserve">Week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Title of seminar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Teaching methods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 xml:space="preserve">Duration 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/>
                    </w:rPr>
                    <w:t xml:space="preserve">Fossils and fossilization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Demonstration. Application. Problematization.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ind w:hanging="0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/>
                    </w:rPr>
                    <w:t xml:space="preserve">Phylum </w:t>
                  </w:r>
                  <w:r>
                    <w:rPr>
                      <w:rFonts w:cs="Arial" w:ascii="Arial narrow" w:hAnsi="Arial narrow"/>
                      <w:i/>
                      <w:sz w:val="20"/>
                      <w:szCs w:val="20"/>
                      <w:lang w:val="en-US"/>
                    </w:rPr>
                    <w:t>Granuloreticulosa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  <w:lang w:val="en-US"/>
                    </w:rPr>
                    <w:t xml:space="preserve">: Class 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  <w:lang w:val="en-US"/>
                    </w:rPr>
                    <w:t>Foraminiferea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Demonstration.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4 hours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 narrow" w:hAnsi="Arial narrow"/>
                      <w:iCs/>
                      <w:sz w:val="20"/>
                      <w:szCs w:val="20"/>
                      <w:lang w:val="en-US"/>
                    </w:rPr>
                    <w:t>Phy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  <w:lang w:val="en-US"/>
                    </w:rPr>
                    <w:t xml:space="preserve">lum 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  <w:lang w:val="en-US"/>
                    </w:rPr>
                    <w:t>Sarcomastigopora –</w:t>
                  </w:r>
                  <w:r>
                    <w:rPr>
                      <w:rFonts w:cs="Arial" w:ascii="Arial narrow" w:hAnsi="Arial narrow"/>
                      <w:iCs/>
                      <w:sz w:val="20"/>
                      <w:szCs w:val="20"/>
                      <w:lang w:val="en-US"/>
                    </w:rPr>
                    <w:t xml:space="preserve"> Subclass 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  <w:lang w:val="en-US"/>
                    </w:rPr>
                    <w:t xml:space="preserve">Radiolaria. </w:t>
                  </w:r>
                  <w:r>
                    <w:rPr>
                      <w:rFonts w:cs="Arial" w:ascii="Arial narrow" w:hAnsi="Arial narrow"/>
                      <w:i/>
                      <w:sz w:val="20"/>
                      <w:szCs w:val="20"/>
                      <w:lang w:val="en-US"/>
                    </w:rPr>
                    <w:t xml:space="preserve">Protista-incertae sedis </w:t>
                  </w:r>
                  <w:r>
                    <w:rPr>
                      <w:rFonts w:cs="Arial" w:ascii="Arial narrow" w:hAnsi="Arial narrow"/>
                      <w:i/>
                      <w:color w:val="000000"/>
                      <w:sz w:val="20"/>
                      <w:szCs w:val="20"/>
                      <w:lang w:val="en-US"/>
                    </w:rPr>
                    <w:t>– Calpionellidae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Demonstration. Application.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 narrow" w:hAnsi="Arial narrow"/>
                      <w:color w:val="000000"/>
                      <w:sz w:val="20"/>
                      <w:szCs w:val="20"/>
                      <w:lang w:val="en-US"/>
                    </w:rPr>
                    <w:t xml:space="preserve">Phylum </w:t>
                  </w:r>
                  <w:r>
                    <w:rPr>
                      <w:rFonts w:cs="Arial" w:ascii="Arial narrow" w:hAnsi="Arial narrow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Porifera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Demonstration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1 hour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 narrow" w:hAnsi="Arial narrow"/>
                      <w:color w:val="000000"/>
                      <w:sz w:val="20"/>
                      <w:szCs w:val="20"/>
                      <w:lang w:val="en-US"/>
                    </w:rPr>
                    <w:t>Field application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Demonstration.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 narrow" w:hAnsi="Arial narrow"/>
                      <w:color w:val="000000"/>
                      <w:sz w:val="20"/>
                      <w:szCs w:val="20"/>
                      <w:lang w:val="en-US"/>
                    </w:rPr>
                    <w:t xml:space="preserve">Phylum </w:t>
                  </w:r>
                  <w:r>
                    <w:rPr>
                      <w:rFonts w:cs="Arial" w:ascii="Arial narrow" w:hAnsi="Arial narrow"/>
                      <w:i/>
                      <w:color w:val="000000"/>
                      <w:sz w:val="20"/>
                      <w:szCs w:val="20"/>
                      <w:lang w:val="en-US"/>
                    </w:rPr>
                    <w:t>Cnidaria</w:t>
                  </w:r>
                  <w:r>
                    <w:rPr>
                      <w:rFonts w:cs="Arial" w:ascii="Arial narrow" w:hAnsi="Arial narrow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Demonstration. Application.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3 hours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 narrow" w:hAnsi="Arial narrow"/>
                      <w:color w:val="000000"/>
                      <w:sz w:val="20"/>
                      <w:szCs w:val="20"/>
                      <w:lang w:val="en-US"/>
                    </w:rPr>
                    <w:t xml:space="preserve">Phyum </w:t>
                  </w:r>
                  <w:r>
                    <w:rPr>
                      <w:rFonts w:cs="Arial" w:ascii="Arial narrow" w:hAnsi="Arial narrow"/>
                      <w:i/>
                      <w:color w:val="000000"/>
                      <w:sz w:val="20"/>
                      <w:szCs w:val="20"/>
                      <w:lang w:val="en-US"/>
                    </w:rPr>
                    <w:t>Mollusca</w:t>
                  </w:r>
                  <w:r>
                    <w:rPr>
                      <w:rFonts w:cs="Arial" w:ascii="Arial narrow" w:hAnsi="Arial narrow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Subphylum</w:t>
                  </w:r>
                  <w:r>
                    <w:rPr>
                      <w:rFonts w:cs="Arial" w:ascii="Arial narrow" w:hAnsi="Arial narrow"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cs="Arial" w:ascii="Arial narrow" w:hAnsi="Arial narrow"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Cyrtosoma</w:t>
                  </w:r>
                  <w:r>
                    <w:rPr>
                      <w:rFonts w:cs="Arial" w:ascii="Arial narrow" w:hAnsi="Arial narrow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:</w:t>
                  </w:r>
                  <w:r>
                    <w:rPr>
                      <w:rFonts w:cs="Arial" w:ascii="Arial narrow" w:hAnsi="Arial narrow"/>
                      <w:color w:val="000000"/>
                      <w:sz w:val="20"/>
                      <w:szCs w:val="20"/>
                      <w:lang w:val="en-US"/>
                    </w:rPr>
                    <w:t xml:space="preserve"> Class </w:t>
                  </w:r>
                  <w:r>
                    <w:rPr>
                      <w:rFonts w:cs="Arial" w:ascii="Arial narrow" w:hAnsi="Arial narrow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Gastropoda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Demonstration. Application.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4 hours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 narrow" w:hAnsi="Arial narrow"/>
                      <w:color w:val="000000"/>
                      <w:sz w:val="20"/>
                      <w:szCs w:val="20"/>
                      <w:lang w:val="en-US"/>
                    </w:rPr>
                    <w:t xml:space="preserve">Class </w:t>
                  </w:r>
                  <w:r>
                    <w:rPr>
                      <w:rFonts w:cs="Arial" w:ascii="Arial narrow" w:hAnsi="Arial narrow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Cephalopoda - </w:t>
                  </w:r>
                  <w:r>
                    <w:rPr>
                      <w:rFonts w:cs="Arial" w:ascii="Arial narrow" w:hAnsi="Arial narrow"/>
                      <w:color w:val="000000"/>
                      <w:sz w:val="20"/>
                      <w:szCs w:val="20"/>
                      <w:lang w:val="en-US"/>
                    </w:rPr>
                    <w:t xml:space="preserve"> Subclasses </w:t>
                  </w:r>
                  <w:r>
                    <w:rPr>
                      <w:rFonts w:cs="Arial" w:ascii="Arial narrow" w:hAnsi="Arial narrow"/>
                      <w:i/>
                      <w:color w:val="000000"/>
                      <w:sz w:val="20"/>
                      <w:szCs w:val="20"/>
                      <w:lang w:val="en-US"/>
                    </w:rPr>
                    <w:t>Actinoceratoidea, Nautiloidea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Demonstration. Application.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Arial" w:cs="Arial" w:ascii="Arial narrow" w:hAnsi="Arial narrow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cs="Arial" w:ascii="Arial narrow" w:hAnsi="Arial narrow"/>
                      <w:color w:val="000000"/>
                      <w:sz w:val="20"/>
                      <w:szCs w:val="20"/>
                      <w:lang w:val="en-US"/>
                    </w:rPr>
                    <w:t xml:space="preserve">Class </w:t>
                  </w:r>
                  <w:r>
                    <w:rPr>
                      <w:rFonts w:cs="Arial" w:ascii="Arial narrow" w:hAnsi="Arial narrow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Cephalopoda - </w:t>
                  </w:r>
                  <w:r>
                    <w:rPr>
                      <w:rFonts w:cs="Arial" w:ascii="Arial narrow" w:hAnsi="Arial narrow"/>
                      <w:color w:val="000000"/>
                      <w:sz w:val="20"/>
                      <w:szCs w:val="20"/>
                      <w:lang w:val="en-US"/>
                    </w:rPr>
                    <w:t xml:space="preserve"> Subclass </w:t>
                  </w:r>
                  <w:r>
                    <w:rPr>
                      <w:rFonts w:cs="Arial" w:ascii="Arial narrow" w:hAnsi="Arial narrow"/>
                      <w:i/>
                      <w:color w:val="000000"/>
                      <w:sz w:val="20"/>
                      <w:szCs w:val="20"/>
                      <w:lang w:val="en-US"/>
                    </w:rPr>
                    <w:t>Ammonoidea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Demonstration. Application. Problematization.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5 hours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 narrow" w:hAnsi="Arial narrow"/>
                      <w:color w:val="000000"/>
                      <w:sz w:val="20"/>
                      <w:szCs w:val="20"/>
                      <w:lang w:val="en-US"/>
                    </w:rPr>
                    <w:t xml:space="preserve">Class </w:t>
                  </w:r>
                  <w:r>
                    <w:rPr>
                      <w:rFonts w:cs="Arial" w:ascii="Arial narrow" w:hAnsi="Arial narrow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Cephalopoda. </w:t>
                  </w:r>
                  <w:r>
                    <w:rPr>
                      <w:rFonts w:cs="Arial" w:ascii="Arial narrow" w:hAnsi="Arial narrow"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Subclass </w:t>
                  </w:r>
                  <w:r>
                    <w:rPr>
                      <w:rFonts w:cs="Arial" w:ascii="Arial narrow" w:hAnsi="Arial narrow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Ammonoidea – </w:t>
                  </w:r>
                  <w:r>
                    <w:rPr>
                      <w:rFonts w:cs="Arial" w:ascii="Arial narrow" w:hAnsi="Arial narrow"/>
                      <w:i w:val="false"/>
                      <w:iCs w:val="false"/>
                      <w:color w:val="000000"/>
                      <w:sz w:val="20"/>
                      <w:szCs w:val="20"/>
                      <w:lang w:val="en-US"/>
                    </w:rPr>
                    <w:t>A</w:t>
                  </w:r>
                  <w:r>
                    <w:rPr>
                      <w:rFonts w:cs="Arial" w:ascii="Arial narrow" w:hAnsi="Arial narrow"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ptichi. Subclass </w:t>
                  </w:r>
                  <w:r>
                    <w:rPr>
                      <w:rFonts w:cs="Arial" w:ascii="Arial narrow" w:hAnsi="Arial narrow"/>
                      <w:i/>
                      <w:color w:val="000000"/>
                      <w:sz w:val="20"/>
                      <w:szCs w:val="20"/>
                      <w:lang w:val="en-US"/>
                    </w:rPr>
                    <w:t>Coleoidea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Demonstration. Application.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 xml:space="preserve">3 hours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cs="Arial" w:ascii="Arial Narrow" w:hAnsi="Arial Narrow"/>
                <w:lang w:val="en-US"/>
              </w:rPr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F</w:t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Recommended reading for seminars</w:t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Style w:val="SubtleReference"/>
                <w:lang w:val="en-US"/>
              </w:rPr>
              <w:t xml:space="preserve"> </w:t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/>
              <w:ind w:left="-138" w:hanging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  <w:lang w:val="pt-BR" w:eastAsia="en-US"/>
              </w:rPr>
              <w:t xml:space="preserve">Nistor-Hanganu, Elisabeta, Manoliu, Eugenia, Grigorescu., D., Dragomir, B. 1982. </w:t>
            </w:r>
            <w:r>
              <w:rPr>
                <w:rFonts w:cs="Arial" w:ascii="Arial" w:hAnsi="Arial"/>
                <w:iCs/>
                <w:sz w:val="18"/>
                <w:szCs w:val="18"/>
                <w:lang w:val="pt-BR" w:eastAsia="en-US"/>
              </w:rPr>
              <w:t>Paleontologie</w:t>
            </w:r>
            <w:r>
              <w:rPr>
                <w:rFonts w:cs="Arial" w:ascii="Arial" w:hAnsi="Arial"/>
                <w:sz w:val="18"/>
                <w:szCs w:val="18"/>
                <w:lang w:val="pt-BR" w:eastAsia="en-US"/>
              </w:rPr>
              <w:t>. Lucrări</w:t>
            </w:r>
          </w:p>
          <w:p>
            <w:pPr>
              <w:pStyle w:val="Normal"/>
              <w:spacing w:lineRule="auto" w:line="240"/>
              <w:ind w:left="-138" w:hanging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  <w:lang w:val="pt-BR" w:eastAsia="en-US"/>
              </w:rPr>
              <w:t xml:space="preserve">              </w:t>
            </w:r>
            <w:r>
              <w:rPr>
                <w:rFonts w:cs="Arial" w:ascii="Arial" w:hAnsi="Arial"/>
                <w:sz w:val="18"/>
                <w:szCs w:val="18"/>
                <w:lang w:val="pt-BR" w:eastAsia="en-US"/>
              </w:rPr>
              <w:t xml:space="preserve">practice. </w:t>
            </w:r>
            <w:r>
              <w:rPr>
                <w:rFonts w:cs="Arial" w:ascii="Arial" w:hAnsi="Arial"/>
                <w:i/>
                <w:sz w:val="18"/>
                <w:szCs w:val="18"/>
                <w:lang w:val="pt-BR" w:eastAsia="en-US"/>
              </w:rPr>
              <w:t xml:space="preserve">Editura </w:t>
            </w:r>
            <w:r>
              <w:rPr>
                <w:rFonts w:cs="Arial" w:ascii="Arial" w:hAnsi="Arial"/>
                <w:i/>
                <w:sz w:val="18"/>
                <w:szCs w:val="18"/>
                <w:lang w:val="en-US" w:eastAsia="en-US"/>
              </w:rPr>
              <w:t>Universităţii Bucureşti,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 xml:space="preserve"> 289 p.</w:t>
            </w:r>
          </w:p>
          <w:p>
            <w:pPr>
              <w:pStyle w:val="Normal"/>
              <w:spacing w:lineRule="auto" w:line="240"/>
              <w:ind w:left="-138" w:hanging="0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</w:p>
          <w:p>
            <w:pPr>
              <w:pStyle w:val="TextBody"/>
              <w:rPr/>
            </w:pP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 xml:space="preserve">Turculeţ,  I. 1996. </w:t>
            </w:r>
            <w:r>
              <w:rPr>
                <w:rFonts w:cs="Arial" w:ascii="Arial" w:hAnsi="Arial"/>
                <w:iCs/>
                <w:sz w:val="18"/>
                <w:szCs w:val="18"/>
                <w:lang w:val="en-US" w:eastAsia="en-US"/>
              </w:rPr>
              <w:t>Dicţionar de paleontologie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 xml:space="preserve">. </w:t>
            </w:r>
            <w:r>
              <w:rPr>
                <w:rFonts w:cs="Arial" w:ascii="Arial" w:hAnsi="Arial"/>
                <w:i/>
                <w:sz w:val="18"/>
                <w:szCs w:val="18"/>
                <w:lang w:val="en-US" w:eastAsia="en-US"/>
              </w:rPr>
              <w:t>Editura „Universităţii Al. I. Cuza”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pt-BR" w:eastAsia="en-US"/>
              </w:rPr>
              <w:t>Iaşi, 262 p., 26 pl., addenda.</w:t>
            </w:r>
          </w:p>
          <w:p>
            <w:pPr>
              <w:pStyle w:val="Normal"/>
              <w:spacing w:lineRule="auto" w:line="240"/>
              <w:ind w:left="-138" w:hanging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  <w:lang w:val="pt-BR" w:eastAsia="en-US"/>
              </w:rPr>
              <w:t xml:space="preserve">   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Ţi</w: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buleac, P.. 2004. Paleontologie. Sitematică-ghid practic. </w:t>
            </w:r>
            <w:r>
              <w:rPr>
                <w:rFonts w:cs="Arial" w:ascii="Arial" w:hAnsi="Arial"/>
                <w:i/>
                <w:sz w:val="18"/>
                <w:szCs w:val="18"/>
                <w:lang w:val="pt-BR"/>
              </w:rPr>
              <w:t xml:space="preserve">Editura Tehnopress, </w: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>238 p.</w:t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G</w:t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Education style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learning and teaching methods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  <w:t>Lecture-debate, demonstration, application, problematization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assessment methods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  <w:t>Ora assessment and research paper (lecture) – 70%, practical assessment and portfolio (seminar) – 30%</w:t>
            </w:r>
          </w:p>
        </w:tc>
      </w:tr>
      <w:tr>
        <w:trPr>
          <w:trHeight w:val="303" w:hRule="atLeast"/>
        </w:trPr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Language of instruction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English 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Arial NARROW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Trebuchet MS">
    <w:charset w:val="00"/>
    <w:family w:val="auto"/>
    <w:pitch w:val="default"/>
  </w:font>
  <w:font w:name="Arial">
    <w:charset w:val="00"/>
    <w:family w:val="roman"/>
    <w:pitch w:val="variable"/>
  </w:font>
  <w:font w:name="Arial narrow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US" w:eastAsia="zh-CN" w:bidi="hi-IN"/>
    </w:rPr>
  </w:style>
  <w:style w:type="paragraph" w:styleId="Heading5">
    <w:name w:val="Heading 5"/>
    <w:basedOn w:val="Normal"/>
    <w:next w:val="Normal"/>
    <w:qFormat/>
    <w:pPr>
      <w:keepNext/>
      <w:keepLines/>
      <w:spacing w:lineRule="auto" w:line="276" w:before="40" w:after="0"/>
      <w:outlineLvl w:val="4"/>
    </w:pPr>
    <w:rPr>
      <w:rFonts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>
    <w:name w:val="Default Paragraph Font"/>
    <w:qFormat/>
    <w:rPr/>
  </w:style>
  <w:style w:type="character" w:styleId="SubtleReference">
    <w:name w:val="Subtle Reference"/>
    <w:basedOn w:val="DefaultParagraphFont"/>
    <w:qFormat/>
    <w:rPr>
      <w:smallCaps/>
      <w:color w:val="5A5A5A" w:themeColor="text1" w:themeTint="a5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  <w:color w:val="000000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InternetLink">
    <w:name w:val="Internet Link"/>
    <w:basedOn w:val="DefaultParagraphFont"/>
    <w:rPr>
      <w:color w:val="0563C1" w:themeColor="hyperlink"/>
      <w:u w:val="single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  <w:color w:val="000000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  <w:color w:val="000000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  <w:color w:val="000000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  <w:color w:val="000000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  <w:color w:val="000000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ascii="Arial NARROW" w:hAnsi="Arial NARROW" w:cs="Symbol"/>
      <w:sz w:val="24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ascii="Arial narrow" w:hAnsi="Arial narrow" w:cs="Wingdings"/>
      <w:sz w:val="24"/>
    </w:rPr>
  </w:style>
  <w:style w:type="character" w:styleId="ListLabel410">
    <w:name w:val="ListLabel 410"/>
    <w:qFormat/>
    <w:rPr>
      <w:rFonts w:cs="Symbol"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Wingdings"/>
    </w:rPr>
  </w:style>
  <w:style w:type="character" w:styleId="ListLabel413">
    <w:name w:val="ListLabel 413"/>
    <w:qFormat/>
    <w:rPr>
      <w:rFonts w:cs="Symbol"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Wingdings"/>
    </w:rPr>
  </w:style>
  <w:style w:type="character" w:styleId="ListLabel416">
    <w:name w:val="ListLabel 416"/>
    <w:qFormat/>
    <w:rPr>
      <w:rFonts w:cs="Symbol"/>
    </w:rPr>
  </w:style>
  <w:style w:type="character" w:styleId="ListLabel417">
    <w:name w:val="ListLabel 417"/>
    <w:qFormat/>
    <w:rPr>
      <w:rFonts w:cs="Courier New"/>
    </w:rPr>
  </w:style>
  <w:style w:type="character" w:styleId="ListLabel418">
    <w:name w:val="ListLabel 418"/>
    <w:qFormat/>
    <w:rPr>
      <w:rFonts w:cs="Wingdings"/>
    </w:rPr>
  </w:style>
  <w:style w:type="character" w:styleId="ListLabel419">
    <w:name w:val="ListLabel 419"/>
    <w:qFormat/>
    <w:rPr>
      <w:rFonts w:ascii="Arial NARROW" w:hAnsi="Arial NARROW" w:cs="Symbol"/>
      <w:sz w:val="24"/>
    </w:rPr>
  </w:style>
  <w:style w:type="character" w:styleId="ListLabel420">
    <w:name w:val="ListLabel 420"/>
    <w:qFormat/>
    <w:rPr>
      <w:rFonts w:cs="Courier New"/>
    </w:rPr>
  </w:style>
  <w:style w:type="character" w:styleId="ListLabel421">
    <w:name w:val="ListLabel 421"/>
    <w:qFormat/>
    <w:rPr>
      <w:rFonts w:cs="Wingdings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ascii="Arial narrow" w:hAnsi="Arial narrow" w:cs="Wingdings"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hanging="0"/>
      <w:contextualSpacing/>
    </w:pPr>
    <w:rPr/>
  </w:style>
  <w:style w:type="paragraph" w:styleId="TableContents">
    <w:name w:val="Table Contents"/>
    <w:basedOn w:val="Normal"/>
    <w:qFormat/>
    <w:pPr/>
    <w:rPr/>
  </w:style>
  <w:style w:type="paragraph" w:styleId="ColorfulListAccent11">
    <w:name w:val="Colorful List - Accent 11"/>
    <w:basedOn w:val="Normal"/>
    <w:qFormat/>
    <w:pPr>
      <w:spacing w:before="0" w:after="0"/>
      <w:ind w:left="720" w:hanging="0"/>
      <w:contextualSpacing/>
    </w:pPr>
    <w:rPr/>
  </w:style>
  <w:style w:type="paragraph" w:styleId="TableHeading">
    <w:name w:val="Table Heading"/>
    <w:basedOn w:val="TableContents"/>
    <w:qFormat/>
    <w:pPr/>
    <w:rPr/>
  </w:style>
  <w:style w:type="paragraph" w:styleId="ColorfulListAccent1">
    <w:name w:val="Colorful List - Accent 1"/>
    <w:basedOn w:val="Normal"/>
    <w:qFormat/>
    <w:pPr>
      <w:spacing w:before="0" w:after="0"/>
      <w:ind w:left="720" w:hanging="0"/>
      <w:contextualSpacing/>
    </w:pPr>
    <w:rPr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2665</TotalTime>
  <Application>LibreOffice/5.4.1.2$Windows_x86 LibreOffice_project/ea7cb86e6eeb2bf3a5af73a8f7777ac570321527</Application>
  <Pages>3</Pages>
  <Words>673</Words>
  <Characters>4455</Characters>
  <CharactersWithSpaces>5036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2020-06-19T22:04:19Z</dcterms:created>
  <dc:creator/>
  <dc:description/>
  <dc:language>en-US</dc:language>
  <cp:lastModifiedBy/>
  <dcterms:modified xsi:type="dcterms:W3CDTF">2020-07-15T15:53:10Z</dcterms:modified>
  <cp:revision>90</cp:revision>
  <dc:subject/>
  <dc:title/>
</cp:coreProperties>
</file>