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GB"/>
        </w:rPr>
        <w:t xml:space="preserve">Academic course description  – systematic </w:t>
      </w:r>
      <w:r>
        <w:rPr>
          <w:rStyle w:val="SubtleReference"/>
          <w:rFonts w:cs="Arial" w:ascii="Arial Narrow" w:hAnsi="Arial Narrow"/>
          <w:sz w:val="20"/>
          <w:szCs w:val="20"/>
          <w:lang w:val="en-GB"/>
        </w:rPr>
        <w:t>MINERALOGY</w:t>
      </w:r>
      <w:r>
        <w:rPr>
          <w:rStyle w:val="SubtleReference"/>
          <w:rFonts w:cs="Arial" w:ascii="Arial Narrow" w:hAnsi="Arial Narrow"/>
          <w:sz w:val="24"/>
          <w:szCs w:val="24"/>
          <w:lang w:val="en-GB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GB"/>
        </w:rPr>
      </w:pPr>
      <w:r>
        <w:rPr>
          <w:rFonts w:cs="Arial" w:ascii="Arial Narrow" w:hAnsi="Arial Narrow"/>
          <w:sz w:val="24"/>
          <w:szCs w:val="24"/>
          <w:lang w:val="en-GB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Bachelor’s DEGREE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GB"/>
              </w:rPr>
              <w:t xml:space="preserve">GEOCHEMISTRY 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GB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CE181E"/>
                <w:vertAlign w:val="superscript"/>
                <w:lang w:val="en-GB"/>
              </w:rPr>
              <w:t>n</w:t>
            </w:r>
            <w:r>
              <w:rPr>
                <w:rStyle w:val="SubtleReference"/>
                <w:rFonts w:cs="Arial" w:ascii="Arial Narrow" w:hAnsi="Arial Narrow"/>
                <w:color w:val="CE181E"/>
                <w:vertAlign w:val="superscript"/>
                <w:lang w:val="en-GB"/>
              </w:rPr>
              <w:t>d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 xml:space="preserve"> 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GB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GB"/>
              </w:rPr>
              <w:t xml:space="preserve">st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GB"/>
        </w:rPr>
      </w:pPr>
      <w:bookmarkStart w:id="0" w:name="_GoBack"/>
      <w:bookmarkStart w:id="1" w:name="_GoBack"/>
      <w:bookmarkEnd w:id="1"/>
      <w:r>
        <w:rPr>
          <w:lang w:val="en-GB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10"/>
        <w:gridCol w:w="6237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GB"/>
              </w:rPr>
              <w:t xml:space="preserve">SYSTEMATIC MINERALOGY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  <w:lang w:val="en-GB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  <w:lang w:val="en-GB"/>
              </w:rPr>
              <w:t>31020030020SL1112115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cycle (</w:t>
            </w:r>
            <w:r>
              <w:rPr>
                <w:rFonts w:cs="Arial" w:ascii="Arial Narrow" w:hAnsi="Arial Narrow"/>
                <w:color w:val="FF0000"/>
                <w:lang w:val="en-GB"/>
              </w:rPr>
              <w:t>bachelor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nd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6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 xml:space="preserve">4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(</w:t>
            </w:r>
            <w:r>
              <w:rPr>
                <w:rFonts w:cs="Arial" w:ascii="Arial Narrow" w:hAnsi="Arial Narrow"/>
                <w:color w:val="FF0000"/>
                <w:lang w:val="en-GB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GB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Assistant Professor Andrei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GB"/>
              </w:rPr>
              <w:t>Ionuț Apopei</w:t>
            </w:r>
            <w:r>
              <w:rPr>
                <w:rFonts w:cs="Arial" w:ascii="Arial" w:hAnsi="Arial"/>
                <w:b/>
                <w:color w:val="000000" w:themeColor="text1"/>
                <w:sz w:val="20"/>
                <w:lang w:val="en-GB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Assistant Professor Andrei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GB"/>
              </w:rPr>
              <w:t>Ionuț Apopei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FF0000"/>
                <w:lang w:val="en-GB"/>
              </w:rPr>
              <w:t xml:space="preserve">Crystallography, </w:t>
            </w:r>
            <w:r>
              <w:rPr>
                <w:rFonts w:cs="Arial" w:ascii="Arial Narrow" w:hAnsi="Arial Narrow"/>
                <w:color w:val="FF0000"/>
                <w:lang w:val="en-GB"/>
              </w:rPr>
              <w:t>Basic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Mineralogy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General and course-specific competences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  <w:t>General competences</w:t>
            </w:r>
            <w:r>
              <w:rPr>
                <w:rFonts w:cs="Arial" w:ascii="Arial Narrow" w:hAnsi="Arial Narrow"/>
                <w:lang w:val="en-GB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Effectively using additional scholarly sources and assisted learning resources in order to devise a research paper on a topic pertaining to the academic discipline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  <w:t>Course-specific competences</w:t>
            </w:r>
            <w:r>
              <w:rPr>
                <w:rFonts w:cs="Arial" w:ascii="Arial Narrow" w:hAnsi="Arial Narrow"/>
                <w:lang w:val="en-GB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Identifying, describing and defining the main classes of minerals in relation to the processes that generate them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Properly using specific instrumental methods for the identification and analysis of minerals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 xml:space="preserve">Using the knowledge acquired so as to explain and interpret the processes responsible for the genesis and properties of minerals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color w:val="FFFFFF" w:themeColor="background1"/>
                <w:lang w:val="en-GB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Learning outcomes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Upon successfully completing the discipline, students become capable of: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 xml:space="preserve">describing the main classes of minerals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 xml:space="preserve">explaining their properties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bookmarkStart w:id="2" w:name="__DdeLink__2385_10018523081"/>
            <w:r>
              <w:rPr>
                <w:rFonts w:cs="Arial" w:ascii="Arial Narrow" w:hAnsi="Arial Narrow"/>
                <w:lang w:val="en-GB"/>
              </w:rPr>
              <w:t>u</w:t>
            </w:r>
            <w:bookmarkEnd w:id="2"/>
            <w:r>
              <w:rPr>
                <w:rFonts w:cs="Arial" w:ascii="Arial Narrow" w:hAnsi="Arial Narrow"/>
                <w:lang w:val="en-GB"/>
              </w:rPr>
              <w:t xml:space="preserve">sing polarized optical microscopy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Arial" w:ascii="Arial Narrow" w:hAnsi="Arial Narrow"/>
                <w:lang w:val="en-GB"/>
              </w:rPr>
              <w:t>analy</w:t>
            </w:r>
            <w:r>
              <w:rPr>
                <w:rFonts w:cs="Arial" w:ascii="Arial Narrow" w:hAnsi="Arial Narrow"/>
                <w:lang w:val="en-GB"/>
              </w:rPr>
              <w:t>s</w:t>
            </w:r>
            <w:r>
              <w:rPr>
                <w:rFonts w:cs="Arial" w:ascii="Arial Narrow" w:hAnsi="Arial Narrow"/>
                <w:lang w:val="en-GB"/>
              </w:rPr>
              <w:t xml:space="preserve">ing an unknown mineral macroscopically and microscopically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understanding the chemistry and properties of rock-forming minerals so as to have the minimum background necessary for the comprehension of igneous, metamorphic and sedimentary processes and rocks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Lecture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8" w:type="dxa"/>
                <w:bottom w:w="55" w:type="dxa"/>
                <w:right w:w="55" w:type="dxa"/>
              </w:tblCellMar>
            </w:tblPr>
            <w:tblGrid>
              <w:gridCol w:w="2106"/>
              <w:gridCol w:w="2107"/>
              <w:gridCol w:w="2106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Week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Title of lecture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Duration </w:t>
                  </w:r>
                </w:p>
              </w:tc>
            </w:tr>
            <w:tr>
              <w:trPr>
                <w:trHeight w:val="1026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Introduction. Systematics of minerals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Deer et al., 1992; Wenk and Bulakh, 2004.</w:t>
                  </w:r>
                </w:p>
              </w:tc>
            </w:tr>
            <w:tr>
              <w:trPr>
                <w:trHeight w:val="1980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Silicates. Subclass: nesosilicates 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Deer et al., 1992;  Wenk and Bulakh;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Silicates. Subclass: sorosilicates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Deer et al., 1992;  Wenk and Bulakh;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Silicates. Subclass: cyclosilicates. Subclass: inosilicates – pyroxenes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Deer et al., 1992;  Wenk and Bulakh;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Silicates. Subclass: inosilicates – amphiboles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Deer et al., 1992;  Wenk and Bulakh;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Silicates. Subclass: phyllosilicates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 Deer et al., 1992;  Wenk and Bulakh,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Silicates. Subclass: tectosilicates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 Deer et al., 1992;  Wenk and Bulakh,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Sulphates and phosphates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 Deer et al., 1992;  Wenk and Bulakh,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Carbonates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 Deer et al., 1992;  Wenk and Bulakh,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Halogens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 Deer et al., 1992;  Wenk and Bulakh,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Oxides and hydroxides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hours;  Deer et al., 1992;  Wenk and Bulakh,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Sulphides and sulphosalts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2 hours;  Deer et al., 1992;  Wenk and Bulakh,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Sulphides and sulphosalts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2 hours;  Deer et al., 1992;  Wenk and Bulakh, 2004, Mureșan and Benea, 2000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Native elements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Lecture based on video projection, heuristic conversation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/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2 hours;  Deer et al., 1992;  Wenk and Bulakh, 2004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Recommended reading for lectures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ColorfulListAccent11"/>
              <w:numPr>
                <w:ilvl w:val="0"/>
                <w:numId w:val="0"/>
              </w:numPr>
              <w:ind w:left="720" w:right="0" w:hanging="0"/>
              <w:rPr>
                <w:lang w:val="en-GB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Main references: </w:t>
            </w:r>
          </w:p>
          <w:p>
            <w:pPr>
              <w:pStyle w:val="ColorfulListAccent11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Deer W. A., Howie R. A., Zussman J. (1992) -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</w:rPr>
              <w:t>An introduction to the rock-forming minerals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, 2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 xml:space="preserve"> edition. Longman Scientific and Technical, London, 696 p.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>
            <w:pPr>
              <w:pStyle w:val="ColorfulListAccent11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Mure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/>
              </w:rPr>
              <w:t>șan I., Benea M. (2000) - Mineralogie sistematică. Partea I-a. Ed. ETA Cluj-Napoca.</w:t>
            </w:r>
          </w:p>
          <w:p>
            <w:pPr>
              <w:pStyle w:val="ColorfulListAccent11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Mure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ro-RO"/>
              </w:rPr>
              <w:t>șan I., Benea M. (2001) - Mineralogie sistematică. Silicați naturali. Partea a II-a. Ed. Casa Cărții de Știință, Cluj-Napoca.</w:t>
            </w:r>
          </w:p>
          <w:p>
            <w:pPr>
              <w:pStyle w:val="ColorfulListAccent11"/>
              <w:numPr>
                <w:ilvl w:val="0"/>
                <w:numId w:val="5"/>
              </w:numPr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Wenk Hans Rudolf, Bulakh Andrei (2004) - 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Minerals. Their constitution and origin.</w:t>
            </w:r>
          </w:p>
          <w:p>
            <w:pPr>
              <w:pStyle w:val="ColorfulListAccent11"/>
              <w:numPr>
                <w:ilvl w:val="0"/>
                <w:numId w:val="0"/>
              </w:numPr>
              <w:ind w:left="720" w:right="0" w:hanging="0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val="en-GB"/>
              </w:rPr>
              <w:t>Cambridge University Press, 646 p.</w:t>
            </w:r>
          </w:p>
          <w:p>
            <w:pPr>
              <w:pStyle w:val="ColorfulListAccent11"/>
              <w:numPr>
                <w:ilvl w:val="0"/>
                <w:numId w:val="0"/>
              </w:numPr>
              <w:ind w:left="720" w:right="0" w:hanging="0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ColorfulListAccent11"/>
              <w:ind w:left="57" w:right="0" w:hanging="0"/>
              <w:rPr>
                <w:lang w:val="en-GB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Additional references: </w:t>
            </w:r>
          </w:p>
          <w:p>
            <w:pPr>
              <w:pStyle w:val="ColorfulListAccent11"/>
              <w:ind w:left="57" w:right="0" w:hanging="0"/>
              <w:rPr>
                <w:lang w:val="en-GB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Websites: 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/>
              </w:rPr>
              <w:t>www.webmineral.com; www.ima-mineralogy.org;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>
            <w:pPr>
              <w:pStyle w:val="ColorfulListAccent11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lang w:val="en-GB"/>
              </w:rPr>
              <w:t xml:space="preserve">Journals: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America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Mineralogist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Canadian Mineralogist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Elements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Mineralogical Magazine, European Journal of Mineralogy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Mineralogy and Petrology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Physics and Chemistry of Minerals</w:t>
            </w:r>
            <w:r>
              <w:rPr>
                <w:rFonts w:cs="Arial" w:ascii="Arial" w:hAnsi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Reviews in Mineralogy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Seminar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tbl>
            <w:tblPr>
              <w:tblW w:w="843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4" w:type="dxa"/>
                <w:bottom w:w="55" w:type="dxa"/>
                <w:right w:w="55" w:type="dxa"/>
              </w:tblCellMar>
            </w:tblPr>
            <w:tblGrid>
              <w:gridCol w:w="1079"/>
              <w:gridCol w:w="4545"/>
              <w:gridCol w:w="1756"/>
              <w:gridCol w:w="1056"/>
            </w:tblGrid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Week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Title of seminar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Teaching methods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1. 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Revision: optical properties determined using parallel nicols 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fr-FR"/>
                    </w:rPr>
                    <w:t xml:space="preserve">Identification under the petrographic microscope 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Revision: optical properties determined using parallel nicols 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fr-FR"/>
                    </w:rPr>
                    <w:t xml:space="preserve">Identification under the petrographic microscope 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3.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Revision: optical properties determined using crossed nicols 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fr-FR"/>
                    </w:rPr>
                    <w:t xml:space="preserve">Identification under the petrographic microscope 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4.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Revision: optical properties determined using crossed nicols 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fr-FR"/>
                    </w:rPr>
                    <w:t xml:space="preserve">Identification under the petrographic microscope 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5.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Minerals from the silicate class, subclass nesosilicates (olivine, garnets, zircon, titanite)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6.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Minerals from the silicate class, subclass nesosilicates (andalusite, disten (kyanite), sillimanite, staurolite)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2 hours 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7. 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Minerals from the silicate class, subclass sorosilicates and cyclosilicates  (epidote, zoisite (saualpite), beryl, tourmaline)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8. 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Minerals from the silicate class, subclass inosilicates (pyroxenes)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9. 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Minerals from the silicate class, subclass inosilicates (amphiboles)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10. 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Minerals from the silicate class, subclass phyllosilicates (micas, chlorites, clay minerals)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11.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Minerals from the silicate class, subclass tectosilicates (quartz and feldspar)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12.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Visit to the Mineralogy Museum 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Debate 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13.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Examples of carbonates, sulphates, phosphates, halogens, oxides and hydroxides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14.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Minerals from the silicate class (revision)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Observation/analysis of thin sections and observation of samples</w:t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15. 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rPr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Oral exam</w:t>
                  </w:r>
                </w:p>
              </w:tc>
              <w:tc>
                <w:tcPr>
                  <w:tcW w:w="17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2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Recommended reading for seminars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Fleischer M., Wilcox R. E., Matzko J. J. (1984) - </w:t>
            </w:r>
            <w:r>
              <w:rPr>
                <w:rFonts w:cs="Arial" w:ascii="Arial" w:hAnsi="Arial"/>
                <w:i/>
                <w:sz w:val="20"/>
                <w:szCs w:val="20"/>
              </w:rPr>
              <w:t>Microscopic Determination of the Nonopaque Minerals.</w:t>
            </w:r>
            <w:r>
              <w:rPr>
                <w:rFonts w:cs="Arial" w:ascii="Arial" w:hAnsi="Arial"/>
                <w:sz w:val="20"/>
                <w:szCs w:val="20"/>
              </w:rPr>
              <w:t xml:space="preserve"> U. S. Geol. Survey Bull., 1627, Washington, 453 p.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160"/>
              <w:contextualSpacing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Deer W. A., Howie R. A., Zussman J. (1992) - </w:t>
            </w:r>
            <w:r>
              <w:rPr>
                <w:rFonts w:cs="Arial" w:ascii="Arial" w:hAnsi="Arial"/>
                <w:i/>
                <w:sz w:val="20"/>
                <w:szCs w:val="20"/>
              </w:rPr>
              <w:t>An introduction to the rock-forming minerals</w:t>
            </w:r>
            <w:r>
              <w:rPr>
                <w:rFonts w:cs="Arial" w:ascii="Arial" w:hAnsi="Arial"/>
                <w:sz w:val="20"/>
                <w:szCs w:val="20"/>
              </w:rPr>
              <w:t>, 2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 w:ascii="Arial" w:hAnsi="Arial"/>
                <w:sz w:val="20"/>
                <w:szCs w:val="20"/>
              </w:rPr>
              <w:t xml:space="preserve"> edition. Longman Scientific and Technical, London, 696 p.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>Lecture based on video projection, heuristic conversation, observation, analysis, debate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>Written exam (35%) and continuous assessment (35%) (lecture-70%), oral exam and continuous assessment (seminar) – 30%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auto"/>
    <w:pitch w:val="default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GB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ascii="Arial Narrow" w:hAnsi="Arial Narrow" w:cs="Symbol"/>
      <w:color w:val="00000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Arial"/>
    </w:rPr>
  </w:style>
  <w:style w:type="character" w:styleId="ListLabel284">
    <w:name w:val="ListLabel 284"/>
    <w:qFormat/>
    <w:rPr>
      <w:rFonts w:cs="Arial"/>
    </w:rPr>
  </w:style>
  <w:style w:type="character" w:styleId="ListLabel285">
    <w:name w:val="ListLabel 285"/>
    <w:qFormat/>
    <w:rPr>
      <w:rFonts w:cs="Arial"/>
    </w:rPr>
  </w:style>
  <w:style w:type="character" w:styleId="ListLabel286">
    <w:name w:val="ListLabel 286"/>
    <w:qFormat/>
    <w:rPr>
      <w:rFonts w:cs="Arial"/>
    </w:rPr>
  </w:style>
  <w:style w:type="character" w:styleId="ListLabel287">
    <w:name w:val="ListLabel 287"/>
    <w:qFormat/>
    <w:rPr>
      <w:rFonts w:cs="Arial"/>
    </w:rPr>
  </w:style>
  <w:style w:type="character" w:styleId="ListLabel288">
    <w:name w:val="ListLabel 288"/>
    <w:qFormat/>
    <w:rPr>
      <w:rFonts w:cs="Arial"/>
    </w:rPr>
  </w:style>
  <w:style w:type="character" w:styleId="ListLabel289">
    <w:name w:val="ListLabel 289"/>
    <w:qFormat/>
    <w:rPr>
      <w:rFonts w:cs="Arial"/>
    </w:rPr>
  </w:style>
  <w:style w:type="character" w:styleId="ListLabel290">
    <w:name w:val="ListLabel 290"/>
    <w:qFormat/>
    <w:rPr>
      <w:rFonts w:cs="Arial"/>
    </w:rPr>
  </w:style>
  <w:style w:type="character" w:styleId="ListLabel291">
    <w:name w:val="ListLabel 291"/>
    <w:qFormat/>
    <w:rPr>
      <w:rFonts w:cs="Arial"/>
    </w:rPr>
  </w:style>
  <w:style w:type="character" w:styleId="ListLabel292">
    <w:name w:val="ListLabel 292"/>
    <w:qFormat/>
    <w:rPr>
      <w:rFonts w:cs="Arial"/>
    </w:rPr>
  </w:style>
  <w:style w:type="character" w:styleId="ListLabel293">
    <w:name w:val="ListLabel 293"/>
    <w:qFormat/>
    <w:rPr>
      <w:rFonts w:cs="Arial"/>
    </w:rPr>
  </w:style>
  <w:style w:type="character" w:styleId="ListLabel294">
    <w:name w:val="ListLabel 294"/>
    <w:qFormat/>
    <w:rPr>
      <w:rFonts w:cs="Arial"/>
    </w:rPr>
  </w:style>
  <w:style w:type="character" w:styleId="ListLabel295">
    <w:name w:val="ListLabel 295"/>
    <w:qFormat/>
    <w:rPr>
      <w:rFonts w:cs="Arial"/>
    </w:rPr>
  </w:style>
  <w:style w:type="character" w:styleId="ListLabel296">
    <w:name w:val="ListLabel 296"/>
    <w:qFormat/>
    <w:rPr>
      <w:rFonts w:cs="Arial"/>
    </w:rPr>
  </w:style>
  <w:style w:type="character" w:styleId="ListLabel297">
    <w:name w:val="ListLabel 297"/>
    <w:qFormat/>
    <w:rPr>
      <w:rFonts w:cs="Arial"/>
    </w:rPr>
  </w:style>
  <w:style w:type="character" w:styleId="ListLabel298">
    <w:name w:val="ListLabel 298"/>
    <w:qFormat/>
    <w:rPr>
      <w:rFonts w:cs="Arial"/>
    </w:rPr>
  </w:style>
  <w:style w:type="character" w:styleId="ListLabel299">
    <w:name w:val="ListLabel 299"/>
    <w:qFormat/>
    <w:rPr>
      <w:rFonts w:cs="Arial"/>
    </w:rPr>
  </w:style>
  <w:style w:type="character" w:styleId="ListLabel300">
    <w:name w:val="ListLabel 300"/>
    <w:qFormat/>
    <w:rPr>
      <w:rFonts w:cs="Arial"/>
    </w:rPr>
  </w:style>
  <w:style w:type="character" w:styleId="ListLabel301">
    <w:name w:val="ListLabel 301"/>
    <w:qFormat/>
    <w:rPr>
      <w:rFonts w:cs="Arial"/>
    </w:rPr>
  </w:style>
  <w:style w:type="character" w:styleId="ListLabel302">
    <w:name w:val="ListLabel 302"/>
    <w:qFormat/>
    <w:rPr>
      <w:rFonts w:cs="Arial"/>
    </w:rPr>
  </w:style>
  <w:style w:type="character" w:styleId="ListLabel303">
    <w:name w:val="ListLabel 303"/>
    <w:qFormat/>
    <w:rPr>
      <w:rFonts w:cs="Arial"/>
    </w:rPr>
  </w:style>
  <w:style w:type="character" w:styleId="ListLabel304">
    <w:name w:val="ListLabel 304"/>
    <w:qFormat/>
    <w:rPr>
      <w:rFonts w:cs="Arial"/>
    </w:rPr>
  </w:style>
  <w:style w:type="character" w:styleId="ListLabel305">
    <w:name w:val="ListLabel 305"/>
    <w:qFormat/>
    <w:rPr>
      <w:rFonts w:cs="Arial"/>
    </w:rPr>
  </w:style>
  <w:style w:type="character" w:styleId="ListLabel306">
    <w:name w:val="ListLabel 306"/>
    <w:qFormat/>
    <w:rPr>
      <w:rFonts w:cs="Arial"/>
    </w:rPr>
  </w:style>
  <w:style w:type="character" w:styleId="ListLabel307">
    <w:name w:val="ListLabel 307"/>
    <w:qFormat/>
    <w:rPr>
      <w:rFonts w:cs="Arial"/>
    </w:rPr>
  </w:style>
  <w:style w:type="character" w:styleId="ListLabel308">
    <w:name w:val="ListLabel 308"/>
    <w:qFormat/>
    <w:rPr>
      <w:rFonts w:cs="Arial"/>
    </w:rPr>
  </w:style>
  <w:style w:type="character" w:styleId="ListLabel309">
    <w:name w:val="ListLabel 309"/>
    <w:qFormat/>
    <w:rPr>
      <w:rFonts w:cs="Aria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  <w:color w:val="000000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Arial"/>
    </w:rPr>
  </w:style>
  <w:style w:type="character" w:styleId="ListLabel338">
    <w:name w:val="ListLabel 338"/>
    <w:qFormat/>
    <w:rPr>
      <w:rFonts w:cs="Arial"/>
    </w:rPr>
  </w:style>
  <w:style w:type="character" w:styleId="ListLabel339">
    <w:name w:val="ListLabel 339"/>
    <w:qFormat/>
    <w:rPr>
      <w:rFonts w:cs="Arial"/>
    </w:rPr>
  </w:style>
  <w:style w:type="character" w:styleId="ListLabel340">
    <w:name w:val="ListLabel 340"/>
    <w:qFormat/>
    <w:rPr>
      <w:rFonts w:cs="Arial"/>
    </w:rPr>
  </w:style>
  <w:style w:type="character" w:styleId="ListLabel341">
    <w:name w:val="ListLabel 341"/>
    <w:qFormat/>
    <w:rPr>
      <w:rFonts w:cs="Arial"/>
    </w:rPr>
  </w:style>
  <w:style w:type="character" w:styleId="ListLabel342">
    <w:name w:val="ListLabel 342"/>
    <w:qFormat/>
    <w:rPr>
      <w:rFonts w:cs="Arial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Arial"/>
    </w:rPr>
  </w:style>
  <w:style w:type="character" w:styleId="ListLabel345">
    <w:name w:val="ListLabel 345"/>
    <w:qFormat/>
    <w:rPr>
      <w:rFonts w:cs="Arial"/>
    </w:rPr>
  </w:style>
  <w:style w:type="character" w:styleId="ListLabel346">
    <w:name w:val="ListLabel 346"/>
    <w:qFormat/>
    <w:rPr>
      <w:rFonts w:cs="Arial"/>
    </w:rPr>
  </w:style>
  <w:style w:type="character" w:styleId="ListLabel347">
    <w:name w:val="ListLabel 347"/>
    <w:qFormat/>
    <w:rPr>
      <w:rFonts w:cs="Arial"/>
    </w:rPr>
  </w:style>
  <w:style w:type="character" w:styleId="ListLabel348">
    <w:name w:val="ListLabel 348"/>
    <w:qFormat/>
    <w:rPr>
      <w:rFonts w:cs="Arial"/>
    </w:rPr>
  </w:style>
  <w:style w:type="character" w:styleId="ListLabel349">
    <w:name w:val="ListLabel 349"/>
    <w:qFormat/>
    <w:rPr>
      <w:rFonts w:cs="Arial"/>
    </w:rPr>
  </w:style>
  <w:style w:type="character" w:styleId="ListLabel350">
    <w:name w:val="ListLabel 350"/>
    <w:qFormat/>
    <w:rPr>
      <w:rFonts w:cs="Arial"/>
    </w:rPr>
  </w:style>
  <w:style w:type="character" w:styleId="ListLabel351">
    <w:name w:val="ListLabel 351"/>
    <w:qFormat/>
    <w:rPr>
      <w:rFonts w:cs="Arial"/>
    </w:rPr>
  </w:style>
  <w:style w:type="character" w:styleId="ListLabel352">
    <w:name w:val="ListLabel 352"/>
    <w:qFormat/>
    <w:rPr>
      <w:rFonts w:cs="Arial"/>
    </w:rPr>
  </w:style>
  <w:style w:type="character" w:styleId="ListLabel353">
    <w:name w:val="ListLabel 353"/>
    <w:qFormat/>
    <w:rPr>
      <w:rFonts w:cs="Arial"/>
    </w:rPr>
  </w:style>
  <w:style w:type="character" w:styleId="ListLabel354">
    <w:name w:val="ListLabel 354"/>
    <w:qFormat/>
    <w:rPr>
      <w:rFonts w:cs="Arial"/>
    </w:rPr>
  </w:style>
  <w:style w:type="character" w:styleId="ListLabel355">
    <w:name w:val="ListLabel 355"/>
    <w:qFormat/>
    <w:rPr>
      <w:rFonts w:cs="Arial"/>
    </w:rPr>
  </w:style>
  <w:style w:type="character" w:styleId="ListLabel356">
    <w:name w:val="ListLabel 356"/>
    <w:qFormat/>
    <w:rPr>
      <w:rFonts w:cs="Arial"/>
    </w:rPr>
  </w:style>
  <w:style w:type="character" w:styleId="ListLabel357">
    <w:name w:val="ListLabel 357"/>
    <w:qFormat/>
    <w:rPr>
      <w:rFonts w:cs="Arial"/>
    </w:rPr>
  </w:style>
  <w:style w:type="character" w:styleId="ListLabel358">
    <w:name w:val="ListLabel 358"/>
    <w:qFormat/>
    <w:rPr>
      <w:rFonts w:cs="Arial"/>
    </w:rPr>
  </w:style>
  <w:style w:type="character" w:styleId="ListLabel359">
    <w:name w:val="ListLabel 359"/>
    <w:qFormat/>
    <w:rPr>
      <w:rFonts w:cs="Arial"/>
    </w:rPr>
  </w:style>
  <w:style w:type="character" w:styleId="ListLabel360">
    <w:name w:val="ListLabel 360"/>
    <w:qFormat/>
    <w:rPr>
      <w:rFonts w:cs="Arial"/>
    </w:rPr>
  </w:style>
  <w:style w:type="character" w:styleId="ListLabel361">
    <w:name w:val="ListLabel 361"/>
    <w:qFormat/>
    <w:rPr>
      <w:rFonts w:cs="Arial"/>
    </w:rPr>
  </w:style>
  <w:style w:type="character" w:styleId="ListLabel362">
    <w:name w:val="ListLabel 362"/>
    <w:qFormat/>
    <w:rPr>
      <w:rFonts w:cs="Arial"/>
    </w:rPr>
  </w:style>
  <w:style w:type="character" w:styleId="ListLabel363">
    <w:name w:val="ListLabel 363"/>
    <w:qFormat/>
    <w:rPr>
      <w:rFonts w:cs="Aria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  <w:color w:val="000000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Arial"/>
    </w:rPr>
  </w:style>
  <w:style w:type="character" w:styleId="ListLabel392">
    <w:name w:val="ListLabel 392"/>
    <w:qFormat/>
    <w:rPr>
      <w:rFonts w:cs="Arial"/>
    </w:rPr>
  </w:style>
  <w:style w:type="character" w:styleId="ListLabel393">
    <w:name w:val="ListLabel 393"/>
    <w:qFormat/>
    <w:rPr>
      <w:rFonts w:cs="Arial"/>
    </w:rPr>
  </w:style>
  <w:style w:type="character" w:styleId="ListLabel394">
    <w:name w:val="ListLabel 394"/>
    <w:qFormat/>
    <w:rPr>
      <w:rFonts w:cs="Arial"/>
    </w:rPr>
  </w:style>
  <w:style w:type="character" w:styleId="ListLabel395">
    <w:name w:val="ListLabel 395"/>
    <w:qFormat/>
    <w:rPr>
      <w:rFonts w:cs="Arial"/>
    </w:rPr>
  </w:style>
  <w:style w:type="character" w:styleId="ListLabel396">
    <w:name w:val="ListLabel 396"/>
    <w:qFormat/>
    <w:rPr>
      <w:rFonts w:cs="Arial"/>
    </w:rPr>
  </w:style>
  <w:style w:type="character" w:styleId="ListLabel397">
    <w:name w:val="ListLabel 397"/>
    <w:qFormat/>
    <w:rPr>
      <w:rFonts w:cs="Arial"/>
    </w:rPr>
  </w:style>
  <w:style w:type="character" w:styleId="ListLabel398">
    <w:name w:val="ListLabel 398"/>
    <w:qFormat/>
    <w:rPr>
      <w:rFonts w:cs="Arial"/>
    </w:rPr>
  </w:style>
  <w:style w:type="character" w:styleId="ListLabel399">
    <w:name w:val="ListLabel 399"/>
    <w:qFormat/>
    <w:rPr>
      <w:rFonts w:cs="Arial"/>
    </w:rPr>
  </w:style>
  <w:style w:type="character" w:styleId="ListLabel400">
    <w:name w:val="ListLabel 400"/>
    <w:qFormat/>
    <w:rPr>
      <w:rFonts w:cs="Arial"/>
    </w:rPr>
  </w:style>
  <w:style w:type="character" w:styleId="ListLabel401">
    <w:name w:val="ListLabel 401"/>
    <w:qFormat/>
    <w:rPr>
      <w:rFonts w:cs="Arial"/>
    </w:rPr>
  </w:style>
  <w:style w:type="character" w:styleId="ListLabel402">
    <w:name w:val="ListLabel 402"/>
    <w:qFormat/>
    <w:rPr>
      <w:rFonts w:cs="Arial"/>
    </w:rPr>
  </w:style>
  <w:style w:type="character" w:styleId="ListLabel403">
    <w:name w:val="ListLabel 403"/>
    <w:qFormat/>
    <w:rPr>
      <w:rFonts w:cs="Arial"/>
    </w:rPr>
  </w:style>
  <w:style w:type="character" w:styleId="ListLabel404">
    <w:name w:val="ListLabel 404"/>
    <w:qFormat/>
    <w:rPr>
      <w:rFonts w:cs="Arial"/>
    </w:rPr>
  </w:style>
  <w:style w:type="character" w:styleId="ListLabel405">
    <w:name w:val="ListLabel 405"/>
    <w:qFormat/>
    <w:rPr>
      <w:rFonts w:cs="Arial"/>
    </w:rPr>
  </w:style>
  <w:style w:type="character" w:styleId="ListLabel406">
    <w:name w:val="ListLabel 406"/>
    <w:qFormat/>
    <w:rPr>
      <w:rFonts w:cs="Arial"/>
    </w:rPr>
  </w:style>
  <w:style w:type="character" w:styleId="ListLabel407">
    <w:name w:val="ListLabel 407"/>
    <w:qFormat/>
    <w:rPr>
      <w:rFonts w:cs="Arial"/>
    </w:rPr>
  </w:style>
  <w:style w:type="character" w:styleId="ListLabel408">
    <w:name w:val="ListLabel 408"/>
    <w:qFormat/>
    <w:rPr>
      <w:rFonts w:cs="Arial"/>
    </w:rPr>
  </w:style>
  <w:style w:type="character" w:styleId="ListLabel409">
    <w:name w:val="ListLabel 409"/>
    <w:qFormat/>
    <w:rPr>
      <w:rFonts w:cs="Arial"/>
    </w:rPr>
  </w:style>
  <w:style w:type="character" w:styleId="ListLabel410">
    <w:name w:val="ListLabel 410"/>
    <w:qFormat/>
    <w:rPr>
      <w:rFonts w:cs="Arial"/>
    </w:rPr>
  </w:style>
  <w:style w:type="character" w:styleId="ListLabel411">
    <w:name w:val="ListLabel 411"/>
    <w:qFormat/>
    <w:rPr>
      <w:rFonts w:cs="Arial"/>
    </w:rPr>
  </w:style>
  <w:style w:type="character" w:styleId="ListLabel412">
    <w:name w:val="ListLabel 412"/>
    <w:qFormat/>
    <w:rPr>
      <w:rFonts w:cs="Arial"/>
    </w:rPr>
  </w:style>
  <w:style w:type="character" w:styleId="ListLabel413">
    <w:name w:val="ListLabel 413"/>
    <w:qFormat/>
    <w:rPr>
      <w:rFonts w:cs="Arial"/>
    </w:rPr>
  </w:style>
  <w:style w:type="character" w:styleId="ListLabel414">
    <w:name w:val="ListLabel 414"/>
    <w:qFormat/>
    <w:rPr>
      <w:rFonts w:cs="Arial"/>
    </w:rPr>
  </w:style>
  <w:style w:type="character" w:styleId="ListLabel415">
    <w:name w:val="ListLabel 415"/>
    <w:qFormat/>
    <w:rPr>
      <w:rFonts w:cs="Arial"/>
    </w:rPr>
  </w:style>
  <w:style w:type="character" w:styleId="ListLabel416">
    <w:name w:val="ListLabel 416"/>
    <w:qFormat/>
    <w:rPr>
      <w:rFonts w:cs="Arial"/>
    </w:rPr>
  </w:style>
  <w:style w:type="character" w:styleId="ListLabel417">
    <w:name w:val="ListLabel 417"/>
    <w:qFormat/>
    <w:rPr>
      <w:rFonts w:cs="Arial"/>
    </w:rPr>
  </w:style>
  <w:style w:type="character" w:styleId="ListLabel418">
    <w:name w:val="ListLabel 418"/>
    <w:qFormat/>
    <w:rPr>
      <w:rFonts w:cs="Aria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  <w:color w:val="000000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Arial"/>
    </w:rPr>
  </w:style>
  <w:style w:type="character" w:styleId="ListLabel455">
    <w:name w:val="ListLabel 455"/>
    <w:qFormat/>
    <w:rPr>
      <w:rFonts w:cs="Arial"/>
    </w:rPr>
  </w:style>
  <w:style w:type="character" w:styleId="ListLabel456">
    <w:name w:val="ListLabel 456"/>
    <w:qFormat/>
    <w:rPr>
      <w:rFonts w:cs="Arial"/>
    </w:rPr>
  </w:style>
  <w:style w:type="character" w:styleId="ListLabel457">
    <w:name w:val="ListLabel 457"/>
    <w:qFormat/>
    <w:rPr>
      <w:rFonts w:cs="Arial"/>
    </w:rPr>
  </w:style>
  <w:style w:type="character" w:styleId="ListLabel458">
    <w:name w:val="ListLabel 458"/>
    <w:qFormat/>
    <w:rPr>
      <w:rFonts w:cs="Arial"/>
    </w:rPr>
  </w:style>
  <w:style w:type="character" w:styleId="ListLabel459">
    <w:name w:val="ListLabel 459"/>
    <w:qFormat/>
    <w:rPr>
      <w:rFonts w:cs="Arial"/>
    </w:rPr>
  </w:style>
  <w:style w:type="character" w:styleId="ListLabel460">
    <w:name w:val="ListLabel 460"/>
    <w:qFormat/>
    <w:rPr>
      <w:rFonts w:cs="Arial"/>
    </w:rPr>
  </w:style>
  <w:style w:type="character" w:styleId="ListLabel461">
    <w:name w:val="ListLabel 461"/>
    <w:qFormat/>
    <w:rPr>
      <w:rFonts w:cs="Arial"/>
    </w:rPr>
  </w:style>
  <w:style w:type="character" w:styleId="ListLabel462">
    <w:name w:val="ListLabel 462"/>
    <w:qFormat/>
    <w:rPr>
      <w:rFonts w:cs="Arial"/>
    </w:rPr>
  </w:style>
  <w:style w:type="character" w:styleId="ListLabel463">
    <w:name w:val="ListLabel 463"/>
    <w:qFormat/>
    <w:rPr>
      <w:rFonts w:cs="Arial"/>
    </w:rPr>
  </w:style>
  <w:style w:type="character" w:styleId="ListLabel464">
    <w:name w:val="ListLabel 464"/>
    <w:qFormat/>
    <w:rPr>
      <w:rFonts w:cs="Arial"/>
    </w:rPr>
  </w:style>
  <w:style w:type="character" w:styleId="ListLabel465">
    <w:name w:val="ListLabel 465"/>
    <w:qFormat/>
    <w:rPr>
      <w:rFonts w:cs="Arial"/>
    </w:rPr>
  </w:style>
  <w:style w:type="character" w:styleId="ListLabel466">
    <w:name w:val="ListLabel 466"/>
    <w:qFormat/>
    <w:rPr>
      <w:rFonts w:cs="Arial"/>
    </w:rPr>
  </w:style>
  <w:style w:type="character" w:styleId="ListLabel467">
    <w:name w:val="ListLabel 467"/>
    <w:qFormat/>
    <w:rPr>
      <w:rFonts w:cs="Arial"/>
    </w:rPr>
  </w:style>
  <w:style w:type="character" w:styleId="ListLabel468">
    <w:name w:val="ListLabel 468"/>
    <w:qFormat/>
    <w:rPr>
      <w:rFonts w:cs="Arial"/>
    </w:rPr>
  </w:style>
  <w:style w:type="character" w:styleId="ListLabel469">
    <w:name w:val="ListLabel 469"/>
    <w:qFormat/>
    <w:rPr>
      <w:rFonts w:cs="Arial"/>
    </w:rPr>
  </w:style>
  <w:style w:type="character" w:styleId="ListLabel470">
    <w:name w:val="ListLabel 470"/>
    <w:qFormat/>
    <w:rPr>
      <w:rFonts w:cs="Arial"/>
    </w:rPr>
  </w:style>
  <w:style w:type="character" w:styleId="ListLabel471">
    <w:name w:val="ListLabel 471"/>
    <w:qFormat/>
    <w:rPr>
      <w:rFonts w:cs="Arial"/>
    </w:rPr>
  </w:style>
  <w:style w:type="character" w:styleId="ListLabel472">
    <w:name w:val="ListLabel 472"/>
    <w:qFormat/>
    <w:rPr>
      <w:rFonts w:cs="Arial"/>
    </w:rPr>
  </w:style>
  <w:style w:type="character" w:styleId="ListLabel473">
    <w:name w:val="ListLabel 473"/>
    <w:qFormat/>
    <w:rPr>
      <w:rFonts w:cs="Arial"/>
    </w:rPr>
  </w:style>
  <w:style w:type="character" w:styleId="ListLabel474">
    <w:name w:val="ListLabel 474"/>
    <w:qFormat/>
    <w:rPr>
      <w:rFonts w:cs="Arial"/>
    </w:rPr>
  </w:style>
  <w:style w:type="character" w:styleId="ListLabel475">
    <w:name w:val="ListLabel 475"/>
    <w:qFormat/>
    <w:rPr>
      <w:rFonts w:cs="Arial"/>
    </w:rPr>
  </w:style>
  <w:style w:type="character" w:styleId="ListLabel476">
    <w:name w:val="ListLabel 476"/>
    <w:qFormat/>
    <w:rPr>
      <w:rFonts w:cs="Arial"/>
    </w:rPr>
  </w:style>
  <w:style w:type="character" w:styleId="ListLabel477">
    <w:name w:val="ListLabel 477"/>
    <w:qFormat/>
    <w:rPr>
      <w:rFonts w:cs="Arial"/>
    </w:rPr>
  </w:style>
  <w:style w:type="character" w:styleId="ListLabel478">
    <w:name w:val="ListLabel 478"/>
    <w:qFormat/>
    <w:rPr>
      <w:rFonts w:cs="Arial"/>
    </w:rPr>
  </w:style>
  <w:style w:type="character" w:styleId="ListLabel479">
    <w:name w:val="ListLabel 479"/>
    <w:qFormat/>
    <w:rPr>
      <w:rFonts w:cs="Arial"/>
    </w:rPr>
  </w:style>
  <w:style w:type="character" w:styleId="ListLabel480">
    <w:name w:val="ListLabel 480"/>
    <w:qFormat/>
    <w:rPr>
      <w:rFonts w:cs="Arial"/>
    </w:rPr>
  </w:style>
  <w:style w:type="character" w:styleId="ListLabel481">
    <w:name w:val="ListLabel 481"/>
    <w:qFormat/>
    <w:rPr>
      <w:rFonts w:cs="Aria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394</TotalTime>
  <Application>LibreOffice/5.4.1.2$Windows_x86 LibreOffice_project/ea7cb86e6eeb2bf3a5af73a8f7777ac570321527</Application>
  <Pages>4</Pages>
  <Words>1063</Words>
  <Characters>6480</Characters>
  <CharactersWithSpaces>7429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2020-06-22T07:29:49Z</dcterms:created>
  <dc:creator/>
  <dc:description/>
  <dc:language>en-US</dc:language>
  <cp:lastModifiedBy/>
  <dcterms:modified xsi:type="dcterms:W3CDTF">2020-07-15T15:47:39Z</dcterms:modified>
  <cp:revision>40</cp:revision>
  <dc:subject/>
  <dc:title/>
</cp:coreProperties>
</file>