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1B4B09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1B4B09"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 w:rsidRPr="001B4B09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BF5F9B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61381D">
              <w:rPr>
                <w:rFonts w:ascii="Arial Narrow" w:hAnsi="Arial Narrow" w:cs="Arial"/>
                <w:color w:val="FF0000"/>
              </w:rPr>
              <w:t>2</w:t>
            </w:r>
            <w:r w:rsidR="0061381D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E14C5C" w:rsidRDefault="001B4B09" w:rsidP="00C94DCA">
            <w:pPr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INTEGRATED MONITORING OF THE ENVIRONMENT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8159C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J</w:t>
            </w:r>
            <w:r w:rsidR="00E14C5C">
              <w:rPr>
                <w:rFonts w:ascii="Arial Narrow" w:hAnsi="Arial Narrow" w:cs="Arial"/>
                <w:color w:val="000000" w:themeColor="text1"/>
              </w:rPr>
              <w:t>M</w:t>
            </w:r>
            <w:r w:rsidR="001B4B09">
              <w:rPr>
                <w:rFonts w:ascii="Arial Narrow" w:hAnsi="Arial Narrow" w:cs="Arial"/>
                <w:color w:val="000000" w:themeColor="text1"/>
              </w:rPr>
              <w:t>3609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B4B09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Pr="001B4B09"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96F15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96F15">
              <w:rPr>
                <w:rFonts w:ascii="Arial Narrow" w:hAnsi="Arial Narrow" w:cs="Arial"/>
                <w:color w:val="FF0000"/>
              </w:rPr>
              <w:t>2</w:t>
            </w:r>
            <w:r w:rsidR="00296F15" w:rsidRPr="00296F15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96F15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F3F4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F575C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Associate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Professor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Iuliana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Gabriela BREABAN</w:t>
            </w:r>
          </w:p>
        </w:tc>
      </w:tr>
      <w:tr w:rsidR="006F575C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6F575C" w:rsidRPr="00C94DCA" w:rsidRDefault="006F575C" w:rsidP="006F575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F575C" w:rsidRPr="00C94DCA" w:rsidRDefault="006F575C" w:rsidP="006F575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Associate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Professor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Iuliana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Gabriela BREABAN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7C556C" w:rsidRDefault="007C556C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7C556C">
              <w:rPr>
                <w:rFonts w:ascii="Arial" w:hAnsi="Arial" w:cs="Arial"/>
                <w:sz w:val="18"/>
                <w:szCs w:val="18"/>
              </w:rPr>
              <w:t xml:space="preserve">Acquiring the adequate professional and transversal competencies, according to the specific requirements of the subject and the qualifications listed in the National Index of Higher Education Qualifications (RNCIS) for </w:t>
            </w:r>
            <w:r w:rsidR="004F3F43">
              <w:rPr>
                <w:rFonts w:ascii="Arial" w:hAnsi="Arial" w:cs="Arial"/>
                <w:sz w:val="18"/>
                <w:szCs w:val="18"/>
              </w:rPr>
              <w:t>Geography of the Environment</w:t>
            </w: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1B4B09" w:rsidRPr="001B4B09" w:rsidRDefault="001B4B09" w:rsidP="001B4B0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1B4B09">
              <w:rPr>
                <w:rFonts w:ascii="Arial Narrow" w:hAnsi="Arial Narrow" w:cs="Arial"/>
                <w:lang w:val="ro-RO"/>
              </w:rPr>
              <w:t>Define, describe and classify air and water quality monitoring systems</w:t>
            </w:r>
          </w:p>
          <w:p w:rsidR="00E14C5C" w:rsidRPr="00C94DCA" w:rsidRDefault="001B4B09" w:rsidP="001B4B0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1B4B09">
              <w:rPr>
                <w:rFonts w:ascii="Arial Narrow" w:hAnsi="Arial Narrow" w:cs="Arial"/>
                <w:lang w:val="ro-RO"/>
              </w:rPr>
              <w:t>Use analysis techniques to capture environmental problems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B4B09" w:rsidRPr="001B4B09" w:rsidRDefault="001B4B09" w:rsidP="001B4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1B4B09">
              <w:rPr>
                <w:rFonts w:ascii="Arial Narrow" w:hAnsi="Arial Narrow" w:cs="Arial"/>
                <w:lang w:val="ro-RO"/>
              </w:rPr>
              <w:t>Calculate pollution indices to capture the degree of pollution of an area</w:t>
            </w:r>
          </w:p>
          <w:p w:rsidR="001B4B09" w:rsidRPr="001B4B09" w:rsidRDefault="001B4B09" w:rsidP="001B4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1B4B09">
              <w:rPr>
                <w:rFonts w:ascii="Arial Narrow" w:hAnsi="Arial Narrow" w:cs="Arial"/>
                <w:lang w:val="ro-RO"/>
              </w:rPr>
              <w:t>Analyze the maps and graphs of the evolution of the degradation of the quality of the environmental components</w:t>
            </w:r>
          </w:p>
          <w:p w:rsidR="001B4B09" w:rsidRPr="001B4B09" w:rsidRDefault="001B4B09" w:rsidP="001B4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1B4B09">
              <w:rPr>
                <w:rFonts w:ascii="Arial Narrow" w:hAnsi="Arial Narrow" w:cs="Arial"/>
                <w:lang w:val="ro-RO"/>
              </w:rPr>
              <w:t>Explains the mechanisms of manifestation of phenomena with negative impact on environmental components</w:t>
            </w:r>
          </w:p>
          <w:p w:rsidR="00C8093F" w:rsidRPr="00C94DCA" w:rsidRDefault="001B4B09" w:rsidP="001B4B0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1B4B09">
              <w:rPr>
                <w:rFonts w:ascii="Arial Narrow" w:hAnsi="Arial Narrow" w:cs="Arial"/>
                <w:lang w:val="ro-RO"/>
              </w:rPr>
              <w:t>Make maps, graphis to highlight environmental issues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1B4B09" w:rsidRPr="001B4B09" w:rsidRDefault="001B4B09" w:rsidP="001B4B09">
            <w:pPr>
              <w:rPr>
                <w:rFonts w:ascii="Arial" w:hAnsi="Arial" w:cs="Arial"/>
                <w:sz w:val="18"/>
                <w:szCs w:val="18"/>
              </w:rPr>
            </w:pPr>
            <w:r w:rsidRPr="001B4B09">
              <w:rPr>
                <w:rFonts w:ascii="Arial" w:hAnsi="Arial" w:cs="Arial"/>
                <w:sz w:val="18"/>
                <w:szCs w:val="18"/>
              </w:rPr>
              <w:t xml:space="preserve">The concept of monitoring. </w:t>
            </w:r>
            <w:r w:rsidR="00826597">
              <w:rPr>
                <w:rFonts w:ascii="Arial" w:hAnsi="Arial" w:cs="Arial"/>
                <w:sz w:val="18"/>
                <w:szCs w:val="18"/>
              </w:rPr>
              <w:t>Introductory notions</w:t>
            </w:r>
          </w:p>
          <w:p w:rsidR="00826597" w:rsidRPr="001B4B09" w:rsidRDefault="001B4B09" w:rsidP="00826597">
            <w:pPr>
              <w:rPr>
                <w:rFonts w:ascii="Arial" w:hAnsi="Arial" w:cs="Arial"/>
                <w:sz w:val="18"/>
                <w:szCs w:val="18"/>
              </w:rPr>
            </w:pPr>
            <w:r w:rsidRPr="001B4B09">
              <w:rPr>
                <w:rFonts w:ascii="Arial" w:hAnsi="Arial" w:cs="Arial"/>
                <w:sz w:val="18"/>
                <w:szCs w:val="18"/>
              </w:rPr>
              <w:t xml:space="preserve">Environmental monitoring systems </w:t>
            </w:r>
          </w:p>
          <w:p w:rsidR="00826597" w:rsidRPr="001B4B09" w:rsidRDefault="00826597" w:rsidP="008265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B4B09" w:rsidRPr="001B4B09">
              <w:rPr>
                <w:rFonts w:ascii="Arial" w:hAnsi="Arial" w:cs="Arial"/>
                <w:sz w:val="18"/>
                <w:szCs w:val="18"/>
              </w:rPr>
              <w:t xml:space="preserve">arameters followed in integrated monitoring. </w:t>
            </w:r>
          </w:p>
          <w:p w:rsidR="00826597" w:rsidRPr="001B4B09" w:rsidRDefault="001B4B09" w:rsidP="00826597">
            <w:pPr>
              <w:rPr>
                <w:rFonts w:ascii="Arial" w:hAnsi="Arial" w:cs="Arial"/>
                <w:sz w:val="18"/>
                <w:szCs w:val="18"/>
              </w:rPr>
            </w:pPr>
            <w:r w:rsidRPr="001B4B09">
              <w:rPr>
                <w:rFonts w:ascii="Arial" w:hAnsi="Arial" w:cs="Arial"/>
                <w:sz w:val="18"/>
                <w:szCs w:val="18"/>
              </w:rPr>
              <w:t xml:space="preserve">Air management and monitoring. Pollutants and sources of air pollution. European directives on air protection </w:t>
            </w:r>
          </w:p>
          <w:p w:rsidR="00826597" w:rsidRPr="001B4B09" w:rsidRDefault="001B4B09" w:rsidP="00826597">
            <w:pPr>
              <w:rPr>
                <w:rFonts w:ascii="Arial" w:hAnsi="Arial" w:cs="Arial"/>
                <w:sz w:val="18"/>
                <w:szCs w:val="18"/>
              </w:rPr>
            </w:pPr>
            <w:r w:rsidRPr="001B4B09">
              <w:rPr>
                <w:rFonts w:ascii="Arial" w:hAnsi="Arial" w:cs="Arial"/>
                <w:sz w:val="18"/>
                <w:szCs w:val="18"/>
              </w:rPr>
              <w:t xml:space="preserve">Dispersion of pollutants in the atmosphere. Air quality monitoring. </w:t>
            </w:r>
          </w:p>
          <w:p w:rsidR="00826597" w:rsidRPr="001B4B09" w:rsidRDefault="001B4B09" w:rsidP="00826597">
            <w:pPr>
              <w:rPr>
                <w:rFonts w:ascii="Arial" w:hAnsi="Arial" w:cs="Arial"/>
                <w:sz w:val="18"/>
                <w:szCs w:val="18"/>
              </w:rPr>
            </w:pPr>
            <w:r w:rsidRPr="001B4B09">
              <w:rPr>
                <w:rFonts w:ascii="Arial" w:hAnsi="Arial" w:cs="Arial"/>
                <w:sz w:val="18"/>
                <w:szCs w:val="18"/>
              </w:rPr>
              <w:t xml:space="preserve">Indoor air quality indices; Real-time monitoring of pollution levels inside and outside residential buildings </w:t>
            </w:r>
          </w:p>
          <w:p w:rsidR="00826597" w:rsidRPr="001B4B09" w:rsidRDefault="001B4B09" w:rsidP="00826597">
            <w:pPr>
              <w:rPr>
                <w:rFonts w:ascii="Arial" w:hAnsi="Arial" w:cs="Arial"/>
                <w:sz w:val="18"/>
                <w:szCs w:val="18"/>
              </w:rPr>
            </w:pPr>
            <w:r w:rsidRPr="001B4B09">
              <w:rPr>
                <w:rFonts w:ascii="Arial" w:hAnsi="Arial" w:cs="Arial"/>
                <w:sz w:val="18"/>
                <w:szCs w:val="18"/>
              </w:rPr>
              <w:t xml:space="preserve">The relationship between climate and air quality </w:t>
            </w:r>
          </w:p>
          <w:p w:rsidR="00826597" w:rsidRPr="001B4B09" w:rsidRDefault="001B4B09" w:rsidP="00826597">
            <w:pPr>
              <w:rPr>
                <w:rFonts w:ascii="Arial" w:hAnsi="Arial" w:cs="Arial"/>
                <w:sz w:val="18"/>
                <w:szCs w:val="18"/>
              </w:rPr>
            </w:pPr>
            <w:r w:rsidRPr="001B4B09">
              <w:rPr>
                <w:rFonts w:ascii="Arial" w:hAnsi="Arial" w:cs="Arial"/>
                <w:sz w:val="18"/>
                <w:szCs w:val="18"/>
              </w:rPr>
              <w:t xml:space="preserve">Fundamental concepts of integrated water quality management </w:t>
            </w:r>
          </w:p>
          <w:p w:rsidR="00826597" w:rsidRPr="001B4B09" w:rsidRDefault="001B4B09" w:rsidP="00826597">
            <w:pPr>
              <w:rPr>
                <w:rFonts w:ascii="Arial" w:hAnsi="Arial" w:cs="Arial"/>
                <w:sz w:val="18"/>
                <w:szCs w:val="18"/>
              </w:rPr>
            </w:pPr>
            <w:r w:rsidRPr="001B4B09">
              <w:rPr>
                <w:rFonts w:ascii="Arial" w:hAnsi="Arial" w:cs="Arial"/>
                <w:sz w:val="18"/>
                <w:szCs w:val="18"/>
              </w:rPr>
              <w:t xml:space="preserve">Standardization, organization and optimization of monitoring and </w:t>
            </w:r>
            <w:proofErr w:type="spellStart"/>
            <w:r w:rsidRPr="001B4B09">
              <w:rPr>
                <w:rFonts w:ascii="Arial" w:hAnsi="Arial" w:cs="Arial"/>
                <w:sz w:val="18"/>
                <w:szCs w:val="18"/>
              </w:rPr>
              <w:t>automonitoring</w:t>
            </w:r>
            <w:proofErr w:type="spellEnd"/>
            <w:r w:rsidRPr="001B4B09">
              <w:rPr>
                <w:rFonts w:ascii="Arial" w:hAnsi="Arial" w:cs="Arial"/>
                <w:sz w:val="18"/>
                <w:szCs w:val="18"/>
              </w:rPr>
              <w:t xml:space="preserve"> systems </w:t>
            </w:r>
          </w:p>
          <w:p w:rsidR="00826597" w:rsidRPr="001B4B09" w:rsidRDefault="001B4B09" w:rsidP="00826597">
            <w:pPr>
              <w:rPr>
                <w:rFonts w:ascii="Arial" w:hAnsi="Arial" w:cs="Arial"/>
                <w:sz w:val="18"/>
                <w:szCs w:val="18"/>
              </w:rPr>
            </w:pPr>
            <w:r w:rsidRPr="001B4B09">
              <w:rPr>
                <w:rFonts w:ascii="Arial" w:hAnsi="Arial" w:cs="Arial"/>
                <w:sz w:val="18"/>
                <w:szCs w:val="18"/>
              </w:rPr>
              <w:t xml:space="preserve">Automatic monitoring and alarm stations </w:t>
            </w:r>
          </w:p>
          <w:p w:rsidR="00826597" w:rsidRPr="001B4B09" w:rsidRDefault="00826597" w:rsidP="008265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1B4B09" w:rsidRPr="001B4B09">
              <w:rPr>
                <w:rFonts w:ascii="Arial" w:hAnsi="Arial" w:cs="Arial"/>
                <w:sz w:val="18"/>
                <w:szCs w:val="18"/>
              </w:rPr>
              <w:t>arn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="001B4B09" w:rsidRPr="001B4B09">
              <w:rPr>
                <w:rFonts w:ascii="Arial" w:hAnsi="Arial" w:cs="Arial"/>
                <w:sz w:val="18"/>
                <w:szCs w:val="18"/>
              </w:rPr>
              <w:t xml:space="preserve"> of accidental pollution </w:t>
            </w:r>
          </w:p>
          <w:p w:rsidR="00826597" w:rsidRPr="001B4B09" w:rsidRDefault="001B4B09" w:rsidP="00826597">
            <w:pPr>
              <w:rPr>
                <w:rFonts w:ascii="Arial" w:hAnsi="Arial" w:cs="Arial"/>
                <w:sz w:val="18"/>
                <w:szCs w:val="18"/>
              </w:rPr>
            </w:pPr>
            <w:r w:rsidRPr="001B4B09">
              <w:rPr>
                <w:rFonts w:ascii="Arial" w:hAnsi="Arial" w:cs="Arial"/>
                <w:sz w:val="18"/>
                <w:szCs w:val="18"/>
              </w:rPr>
              <w:t xml:space="preserve">Physical, chemical and biological methods of water analysis </w:t>
            </w:r>
          </w:p>
          <w:p w:rsidR="00826597" w:rsidRPr="001B4B09" w:rsidRDefault="001B4B09" w:rsidP="00826597">
            <w:pPr>
              <w:rPr>
                <w:rFonts w:ascii="Arial" w:hAnsi="Arial" w:cs="Arial"/>
                <w:sz w:val="18"/>
                <w:szCs w:val="18"/>
              </w:rPr>
            </w:pPr>
            <w:r w:rsidRPr="001B4B09">
              <w:rPr>
                <w:rFonts w:ascii="Arial" w:hAnsi="Arial" w:cs="Arial"/>
                <w:sz w:val="18"/>
                <w:szCs w:val="18"/>
              </w:rPr>
              <w:t xml:space="preserve">Methods of data analysis and interpretation </w:t>
            </w:r>
          </w:p>
          <w:p w:rsidR="00FB536D" w:rsidRPr="00FA1F9A" w:rsidRDefault="001B4B09" w:rsidP="001B4B09">
            <w:pPr>
              <w:rPr>
                <w:rFonts w:ascii="Arial" w:hAnsi="Arial" w:cs="Arial"/>
                <w:sz w:val="18"/>
                <w:szCs w:val="18"/>
              </w:rPr>
            </w:pPr>
            <w:r w:rsidRPr="001B4B09">
              <w:rPr>
                <w:rFonts w:ascii="Arial" w:hAnsi="Arial" w:cs="Arial"/>
                <w:sz w:val="18"/>
                <w:szCs w:val="18"/>
              </w:rPr>
              <w:t>Integration of water monitoring activities in the integrated environmental monitoring system in Romania.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26597" w:rsidRDefault="00826597" w:rsidP="00826597">
            <w:pPr>
              <w:pStyle w:val="ColorfulList-Accent11"/>
              <w:ind w:left="57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pt-BR"/>
              </w:rPr>
              <w:t xml:space="preserve">1. </w:t>
            </w:r>
            <w:r>
              <w:rPr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pt-BR"/>
              </w:rPr>
              <w:t xml:space="preserve">Cretescu Igor , Soreanu Gabriela, (2013), 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18"/>
                <w:szCs w:val="18"/>
                <w:lang w:val="pt-BR"/>
              </w:rPr>
              <w:t>Tehnologii de achizitie, monitorizare si diagnoza a calitatii factorilor de mediu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pt-BR"/>
              </w:rPr>
              <w:t xml:space="preserve">, Ed. Ecozone, Iasi </w:t>
            </w:r>
          </w:p>
          <w:p w:rsidR="00826597" w:rsidRDefault="00826597" w:rsidP="00826597">
            <w:pPr>
              <w:pStyle w:val="ColorfulList-Accent11"/>
              <w:ind w:left="57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pt-BR"/>
              </w:rPr>
              <w:t xml:space="preserve">2.  Ciulache, S.,(2004), 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18"/>
                <w:szCs w:val="18"/>
                <w:lang w:val="pt-BR"/>
              </w:rPr>
              <w:t>Influenţa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18"/>
                <w:szCs w:val="18"/>
                <w:lang w:val="pt-BR"/>
              </w:rPr>
              <w:t>condiţiilor meteorologice şi climatice asupra poluării aerului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pt-BR"/>
              </w:rPr>
              <w:t>, Com Geogr., V, Editura Universităţii Bucureşti;</w:t>
            </w:r>
          </w:p>
          <w:p w:rsidR="00826597" w:rsidRDefault="00826597" w:rsidP="00826597">
            <w:pPr>
              <w:pStyle w:val="ColorfulList-Accent11"/>
              <w:ind w:left="57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3.  Hanna S.R.,1982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18"/>
                <w:szCs w:val="18"/>
              </w:rPr>
              <w:t>, Review of atmospheric diffusion models for regulation application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”, WMO, No.581, Technical Note No.177,</w:t>
            </w:r>
          </w:p>
          <w:p w:rsidR="00826597" w:rsidRDefault="00826597" w:rsidP="00826597">
            <w:pPr>
              <w:pStyle w:val="ColorfulList-Accent11"/>
              <w:ind w:left="57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4. </w:t>
            </w:r>
            <w:r>
              <w:t xml:space="preserve"> 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 Terceiro Patricia,  Ceclan Rodica,  Popa Ionel (2009) - </w:t>
            </w:r>
            <w:r>
              <w:rPr>
                <w:rFonts w:ascii="Arial" w:hAnsi="Arial" w:cs="Arial"/>
                <w:bCs/>
                <w:i/>
                <w:iCs/>
                <w:noProof/>
                <w:color w:val="000000"/>
                <w:sz w:val="18"/>
                <w:szCs w:val="18"/>
              </w:rPr>
              <w:t>Environmental monitoring of water sources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, Ed. </w:t>
            </w:r>
            <w:r>
              <w:t xml:space="preserve"> 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Electra, Bucureşti146 p.</w:t>
            </w:r>
          </w:p>
          <w:p w:rsidR="00330113" w:rsidRPr="00C94DCA" w:rsidRDefault="00330113" w:rsidP="00FB536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26597" w:rsidRPr="00826597" w:rsidRDefault="00826597" w:rsidP="0082659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826597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Presentation of the means of investigation of the terrestrial atmosphere (SNEGICA) </w:t>
            </w:r>
          </w:p>
          <w:p w:rsidR="00826597" w:rsidRPr="00826597" w:rsidRDefault="00826597" w:rsidP="0082659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826597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Identification of environmental information sources (SNMCA) and (SNIEPA). Types of data, information and knowledge used in assessment </w:t>
            </w:r>
          </w:p>
          <w:p w:rsidR="00826597" w:rsidRPr="00826597" w:rsidRDefault="00826597" w:rsidP="0082659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826597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Methods of data analysis and interpretation </w:t>
            </w:r>
          </w:p>
          <w:p w:rsidR="00826597" w:rsidRPr="00826597" w:rsidRDefault="00826597" w:rsidP="0082659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826597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Evaluation and management of ambient air quality. Collection of necessary data </w:t>
            </w:r>
          </w:p>
          <w:p w:rsidR="00826597" w:rsidRPr="00826597" w:rsidRDefault="00826597" w:rsidP="0082659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o-RO"/>
              </w:rPr>
              <w:lastRenderedPageBreak/>
              <w:t>Field activity meant</w:t>
            </w:r>
            <w:r w:rsidRPr="00826597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 to determine the usual air pollutants </w:t>
            </w:r>
          </w:p>
          <w:p w:rsidR="00826597" w:rsidRPr="00826597" w:rsidRDefault="00826597" w:rsidP="0082659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826597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Generating a cartographic support with the identification of the main and secondary critical areas; </w:t>
            </w:r>
          </w:p>
          <w:p w:rsidR="00826597" w:rsidRPr="00826597" w:rsidRDefault="00826597" w:rsidP="0082659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826597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Methods of water sampling </w:t>
            </w:r>
          </w:p>
          <w:p w:rsidR="00826597" w:rsidRPr="00826597" w:rsidRDefault="00826597" w:rsidP="0082659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826597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Methods of physical, chemical and biological analysis of water </w:t>
            </w:r>
          </w:p>
          <w:p w:rsidR="00826597" w:rsidRDefault="00826597" w:rsidP="0082659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826597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Methods of data analysis and interpretation </w:t>
            </w:r>
          </w:p>
          <w:p w:rsidR="00826597" w:rsidRPr="00826597" w:rsidRDefault="00826597" w:rsidP="0082659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Field activity: </w:t>
            </w:r>
            <w:r w:rsidRPr="00826597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detailed measurements in the Bahlui river basin and the city of Iasi </w:t>
            </w:r>
          </w:p>
          <w:p w:rsidR="00826597" w:rsidRPr="00826597" w:rsidRDefault="00826597" w:rsidP="0082659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826597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Modeling in Geographic Information System of physical, chemical and biological parameters with polluting character for water, specific to a negative situation </w:t>
            </w:r>
          </w:p>
          <w:p w:rsidR="00826597" w:rsidRPr="00826597" w:rsidRDefault="00826597" w:rsidP="0082659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826597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Generation of a cartographic support as an analysis tool in integrated management </w:t>
            </w:r>
          </w:p>
          <w:p w:rsidR="00E14C5C" w:rsidRPr="00FB536D" w:rsidRDefault="00E14C5C" w:rsidP="0082659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340A5" w:rsidRDefault="005340A5" w:rsidP="005340A5">
            <w:pPr>
              <w:ind w:left="57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  <w:t xml:space="preserve">1. Drăghiei, C., Perniu, D.,(2002), Poluarea şi monitorizarea mediului, Editura Universităţii Transilvania, Braşov </w:t>
            </w:r>
          </w:p>
          <w:p w:rsidR="005340A5" w:rsidRDefault="005340A5" w:rsidP="005340A5">
            <w:pPr>
              <w:ind w:left="57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  <w:t xml:space="preserve">2. </w:t>
            </w:r>
            <w:hyperlink r:id="rId5" w:history="1">
              <w:r>
                <w:rPr>
                  <w:rStyle w:val="Hyperlink"/>
                  <w:rFonts w:ascii="Arial" w:hAnsi="Arial" w:cs="Arial"/>
                  <w:bCs/>
                  <w:noProof/>
                  <w:sz w:val="18"/>
                  <w:szCs w:val="18"/>
                  <w:lang w:val="it-IT"/>
                </w:rPr>
                <w:t>http://www.eea.eu.int</w:t>
              </w:r>
            </w:hyperlink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  <w:t>;</w:t>
            </w:r>
          </w:p>
          <w:p w:rsidR="005340A5" w:rsidRDefault="005340A5" w:rsidP="005340A5">
            <w:pPr>
              <w:ind w:left="57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  <w:t xml:space="preserve">3. http://www.unep.org; </w:t>
            </w:r>
          </w:p>
          <w:p w:rsidR="005340A5" w:rsidRDefault="005340A5" w:rsidP="005340A5">
            <w:pPr>
              <w:ind w:left="57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  <w:t xml:space="preserve">4. </w:t>
            </w:r>
            <w:hyperlink r:id="rId6" w:history="1">
              <w:r>
                <w:rPr>
                  <w:rStyle w:val="Hyperlink"/>
                  <w:rFonts w:ascii="Arial" w:hAnsi="Arial" w:cs="Arial"/>
                  <w:bCs/>
                  <w:noProof/>
                  <w:sz w:val="18"/>
                  <w:szCs w:val="18"/>
                  <w:lang w:val="it-IT"/>
                </w:rPr>
                <w:t>http://www.epa.gov/</w:t>
              </w:r>
            </w:hyperlink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  <w:t xml:space="preserve">; </w:t>
            </w:r>
          </w:p>
          <w:p w:rsidR="005340A5" w:rsidRDefault="005340A5" w:rsidP="005340A5">
            <w:pPr>
              <w:ind w:left="57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  <w:t xml:space="preserve">5. http://enrin.grida.no; </w:t>
            </w:r>
          </w:p>
          <w:p w:rsidR="005340A5" w:rsidRDefault="005340A5" w:rsidP="005340A5">
            <w:pPr>
              <w:ind w:left="57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  <w:t>6.Tanase N., (2002), Calitatea atmosferei în contextual dezvoltarii durabile”, Referat de doctorat, Bucuresti;</w:t>
            </w:r>
          </w:p>
          <w:p w:rsidR="00330113" w:rsidRPr="00C94DCA" w:rsidRDefault="005340A5" w:rsidP="005340A5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it-IT"/>
              </w:rPr>
              <w:t>7. Tanase N., (2010)  Analiza temporala a poluarii. Corelatii între poluanti masurati la statiile de tip trafic, Conferinta Facultatii de Instalatii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FB536D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Lecture, </w:t>
            </w:r>
            <w:r w:rsidR="00550CD6">
              <w:rPr>
                <w:rFonts w:ascii="Arial Narrow" w:hAnsi="Arial Narrow" w:cs="Arial"/>
                <w:color w:val="000000" w:themeColor="text1"/>
                <w:lang w:val="ro-RO"/>
              </w:rPr>
              <w:t xml:space="preserve">didactic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explanation, </w:t>
            </w:r>
            <w:r w:rsidR="00550CD6">
              <w:rPr>
                <w:rFonts w:ascii="Arial Narrow" w:hAnsi="Arial Narrow" w:cs="Arial"/>
                <w:color w:val="000000" w:themeColor="text1"/>
                <w:lang w:val="ro-RO"/>
              </w:rPr>
              <w:t xml:space="preserve">heuristic conversation,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problematization, </w:t>
            </w:r>
            <w:r w:rsidR="000E2E70">
              <w:rPr>
                <w:rFonts w:ascii="Arial Narrow" w:hAnsi="Arial Narrow" w:cs="Arial"/>
                <w:color w:val="000000" w:themeColor="text1"/>
                <w:lang w:val="ro-RO"/>
              </w:rPr>
              <w:t>case study</w:t>
            </w:r>
            <w:r w:rsidR="00550CD6">
              <w:rPr>
                <w:rFonts w:ascii="Arial Narrow" w:hAnsi="Arial Narrow" w:cs="Arial"/>
                <w:color w:val="000000" w:themeColor="text1"/>
                <w:lang w:val="ro-RO"/>
              </w:rPr>
              <w:t>, demonstration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5340A5" w:rsidP="00330113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Performance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  <w:r w:rsidR="00DE7F4E">
              <w:rPr>
                <w:rFonts w:ascii="Arial Narrow" w:hAnsi="Arial Narrow" w:cs="Arial"/>
                <w:color w:val="000000" w:themeColor="text1"/>
                <w:lang w:val="fr-FR"/>
              </w:rPr>
              <w:t xml:space="preserve"> + </w:t>
            </w:r>
            <w:proofErr w:type="spellStart"/>
            <w:r w:rsidR="00DE7F4E"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 w:rsidR="00DE7F4E">
              <w:rPr>
                <w:rFonts w:ascii="Arial Narrow" w:hAnsi="Arial Narrow" w:cs="Arial"/>
                <w:color w:val="000000" w:themeColor="text1"/>
                <w:lang w:val="fr-FR"/>
              </w:rPr>
              <w:t xml:space="preserve"> Grades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F7173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AFF"/>
    <w:multiLevelType w:val="hybridMultilevel"/>
    <w:tmpl w:val="D4007A90"/>
    <w:lvl w:ilvl="0" w:tplc="8C7E4C6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C089D"/>
    <w:multiLevelType w:val="hybridMultilevel"/>
    <w:tmpl w:val="83D056AA"/>
    <w:lvl w:ilvl="0" w:tplc="77300148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>
      <w:start w:val="1"/>
      <w:numFmt w:val="lowerRoman"/>
      <w:lvlText w:val="%3."/>
      <w:lvlJc w:val="right"/>
      <w:pPr>
        <w:ind w:left="1857" w:hanging="180"/>
      </w:pPr>
    </w:lvl>
    <w:lvl w:ilvl="3" w:tplc="0409000F">
      <w:start w:val="1"/>
      <w:numFmt w:val="decimal"/>
      <w:lvlText w:val="%4."/>
      <w:lvlJc w:val="left"/>
      <w:pPr>
        <w:ind w:left="2577" w:hanging="360"/>
      </w:pPr>
    </w:lvl>
    <w:lvl w:ilvl="4" w:tplc="04090019">
      <w:start w:val="1"/>
      <w:numFmt w:val="lowerLetter"/>
      <w:lvlText w:val="%5."/>
      <w:lvlJc w:val="left"/>
      <w:pPr>
        <w:ind w:left="3297" w:hanging="360"/>
      </w:pPr>
    </w:lvl>
    <w:lvl w:ilvl="5" w:tplc="0409001B">
      <w:start w:val="1"/>
      <w:numFmt w:val="lowerRoman"/>
      <w:lvlText w:val="%6."/>
      <w:lvlJc w:val="right"/>
      <w:pPr>
        <w:ind w:left="4017" w:hanging="180"/>
      </w:pPr>
    </w:lvl>
    <w:lvl w:ilvl="6" w:tplc="0409000F">
      <w:start w:val="1"/>
      <w:numFmt w:val="decimal"/>
      <w:lvlText w:val="%7."/>
      <w:lvlJc w:val="left"/>
      <w:pPr>
        <w:ind w:left="4737" w:hanging="360"/>
      </w:pPr>
    </w:lvl>
    <w:lvl w:ilvl="7" w:tplc="04090019">
      <w:start w:val="1"/>
      <w:numFmt w:val="lowerLetter"/>
      <w:lvlText w:val="%8."/>
      <w:lvlJc w:val="left"/>
      <w:pPr>
        <w:ind w:left="5457" w:hanging="360"/>
      </w:pPr>
    </w:lvl>
    <w:lvl w:ilvl="8" w:tplc="0409001B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4D96AC1"/>
    <w:multiLevelType w:val="hybridMultilevel"/>
    <w:tmpl w:val="06846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689A3956"/>
    <w:multiLevelType w:val="hybridMultilevel"/>
    <w:tmpl w:val="338E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B42DD"/>
    <w:multiLevelType w:val="hybridMultilevel"/>
    <w:tmpl w:val="BC70CCDA"/>
    <w:lvl w:ilvl="0" w:tplc="EB500A52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266C9"/>
    <w:multiLevelType w:val="hybridMultilevel"/>
    <w:tmpl w:val="C5C4ACFC"/>
    <w:lvl w:ilvl="0" w:tplc="EB500A52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>
      <w:start w:val="1"/>
      <w:numFmt w:val="lowerRoman"/>
      <w:lvlText w:val="%3."/>
      <w:lvlJc w:val="right"/>
      <w:pPr>
        <w:ind w:left="1857" w:hanging="180"/>
      </w:pPr>
    </w:lvl>
    <w:lvl w:ilvl="3" w:tplc="0409000F">
      <w:start w:val="1"/>
      <w:numFmt w:val="decimal"/>
      <w:lvlText w:val="%4."/>
      <w:lvlJc w:val="left"/>
      <w:pPr>
        <w:ind w:left="2577" w:hanging="360"/>
      </w:pPr>
    </w:lvl>
    <w:lvl w:ilvl="4" w:tplc="04090019">
      <w:start w:val="1"/>
      <w:numFmt w:val="lowerLetter"/>
      <w:lvlText w:val="%5."/>
      <w:lvlJc w:val="left"/>
      <w:pPr>
        <w:ind w:left="3297" w:hanging="360"/>
      </w:pPr>
    </w:lvl>
    <w:lvl w:ilvl="5" w:tplc="0409001B">
      <w:start w:val="1"/>
      <w:numFmt w:val="lowerRoman"/>
      <w:lvlText w:val="%6."/>
      <w:lvlJc w:val="right"/>
      <w:pPr>
        <w:ind w:left="4017" w:hanging="180"/>
      </w:pPr>
    </w:lvl>
    <w:lvl w:ilvl="6" w:tplc="0409000F">
      <w:start w:val="1"/>
      <w:numFmt w:val="decimal"/>
      <w:lvlText w:val="%7."/>
      <w:lvlJc w:val="left"/>
      <w:pPr>
        <w:ind w:left="4737" w:hanging="360"/>
      </w:pPr>
    </w:lvl>
    <w:lvl w:ilvl="7" w:tplc="04090019">
      <w:start w:val="1"/>
      <w:numFmt w:val="lowerLetter"/>
      <w:lvlText w:val="%8."/>
      <w:lvlJc w:val="left"/>
      <w:pPr>
        <w:ind w:left="5457" w:hanging="360"/>
      </w:pPr>
    </w:lvl>
    <w:lvl w:ilvl="8" w:tplc="040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7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751"/>
    <w:rsid w:val="00071C0E"/>
    <w:rsid w:val="000A5E76"/>
    <w:rsid w:val="000E2602"/>
    <w:rsid w:val="000E2E70"/>
    <w:rsid w:val="000F4011"/>
    <w:rsid w:val="0018766C"/>
    <w:rsid w:val="001B4B09"/>
    <w:rsid w:val="001C2A30"/>
    <w:rsid w:val="00254D05"/>
    <w:rsid w:val="00296F15"/>
    <w:rsid w:val="002A1706"/>
    <w:rsid w:val="002B6A6C"/>
    <w:rsid w:val="00330113"/>
    <w:rsid w:val="003F1473"/>
    <w:rsid w:val="00427C2F"/>
    <w:rsid w:val="004810F8"/>
    <w:rsid w:val="004D0D05"/>
    <w:rsid w:val="004F3F43"/>
    <w:rsid w:val="005274AB"/>
    <w:rsid w:val="005340A5"/>
    <w:rsid w:val="00550CD6"/>
    <w:rsid w:val="0061381D"/>
    <w:rsid w:val="0062560F"/>
    <w:rsid w:val="00647103"/>
    <w:rsid w:val="006852DA"/>
    <w:rsid w:val="00686349"/>
    <w:rsid w:val="00696887"/>
    <w:rsid w:val="006F575C"/>
    <w:rsid w:val="0075756B"/>
    <w:rsid w:val="007C556C"/>
    <w:rsid w:val="008003E6"/>
    <w:rsid w:val="00814805"/>
    <w:rsid w:val="00826597"/>
    <w:rsid w:val="008871DD"/>
    <w:rsid w:val="008D56B5"/>
    <w:rsid w:val="009472FD"/>
    <w:rsid w:val="009A063F"/>
    <w:rsid w:val="009C308C"/>
    <w:rsid w:val="009E186A"/>
    <w:rsid w:val="009F7474"/>
    <w:rsid w:val="00A91EB9"/>
    <w:rsid w:val="00B0090F"/>
    <w:rsid w:val="00B8159C"/>
    <w:rsid w:val="00BA22A9"/>
    <w:rsid w:val="00BD750F"/>
    <w:rsid w:val="00BF5F9B"/>
    <w:rsid w:val="00C46021"/>
    <w:rsid w:val="00C8093F"/>
    <w:rsid w:val="00C94DCA"/>
    <w:rsid w:val="00CA0D08"/>
    <w:rsid w:val="00DB1C6A"/>
    <w:rsid w:val="00DC554A"/>
    <w:rsid w:val="00DE7F4E"/>
    <w:rsid w:val="00E14C5C"/>
    <w:rsid w:val="00E81CCC"/>
    <w:rsid w:val="00EE70AA"/>
    <w:rsid w:val="00F03376"/>
    <w:rsid w:val="00F14D5A"/>
    <w:rsid w:val="00F46239"/>
    <w:rsid w:val="00F7173B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3D354-5773-4330-A9A8-EF1F3E20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shorttext">
    <w:name w:val="short_text"/>
    <w:rsid w:val="0061381D"/>
  </w:style>
  <w:style w:type="character" w:customStyle="1" w:styleId="alt-edited">
    <w:name w:val="alt-edited"/>
    <w:rsid w:val="00FB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" TargetMode="External"/><Relationship Id="rId5" Type="http://schemas.openxmlformats.org/officeDocument/2006/relationships/hyperlink" Target="http://www.eea.eu.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3</cp:revision>
  <dcterms:created xsi:type="dcterms:W3CDTF">2020-07-24T14:38:00Z</dcterms:created>
  <dcterms:modified xsi:type="dcterms:W3CDTF">2020-09-04T06:55:00Z</dcterms:modified>
</cp:coreProperties>
</file>