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BB91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55D6896F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62A56491" w14:textId="09ED77A1" w:rsidR="00B0090F" w:rsidRPr="00C94DCA" w:rsidRDefault="00EB3322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7E100608" w14:textId="11BDA22A" w:rsidR="00B0090F" w:rsidRPr="00647103" w:rsidRDefault="00EB3322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 xml:space="preserve">ENGLISH </w:t>
            </w:r>
            <w:r w:rsidR="00BE2C61"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>LANGUAGE AND LITERATURE</w:t>
            </w:r>
          </w:p>
          <w:p w14:paraId="47C46EAC" w14:textId="317777B6" w:rsidR="00B0090F" w:rsidRPr="00C94DCA" w:rsidRDefault="00EB3322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Pr="00EB3322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BB45A4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Pr="00BB45A4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</w:t>
            </w:r>
            <w:r w:rsidR="00BB45A4" w:rsidRPr="00BB45A4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2635612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521"/>
      </w:tblGrid>
      <w:tr w:rsidR="00B0090F" w:rsidRPr="00C94DCA" w14:paraId="52CFB9FE" w14:textId="77777777" w:rsidTr="00906B21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7E9B5D9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14:paraId="267EE468" w14:textId="0BDFA5E8" w:rsidR="00BB45A4" w:rsidRDefault="00BB45A4" w:rsidP="00C94DCA">
            <w:pPr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INTRODUCTION TO LITERARY AND CULTURA</w:t>
            </w:r>
            <w:r w:rsidR="00906B21">
              <w:rPr>
                <w:rStyle w:val="SubtleReference"/>
                <w:rFonts w:ascii="Arial Narrow" w:hAnsi="Arial Narrow" w:cs="Arial"/>
                <w:b/>
                <w:color w:val="FF0000"/>
              </w:rPr>
              <w:t>L THEORIES</w:t>
            </w:r>
            <w:r w:rsidR="00BE2C61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</w:t>
            </w:r>
            <w:r w:rsidR="00BE2C61">
              <w:rPr>
                <w:rStyle w:val="SubtleReference"/>
                <w:rFonts w:ascii="Arial Narrow" w:hAnsi="Arial Narrow" w:cs="Arial"/>
                <w:b/>
                <w:color w:val="FF0000"/>
              </w:rPr>
              <w:t>(OPTIONAL COURSE)</w:t>
            </w:r>
          </w:p>
          <w:p w14:paraId="3BF22059" w14:textId="0F2F593B" w:rsidR="00B0090F" w:rsidRPr="00C94DCA" w:rsidRDefault="00BB45A4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BB45A4">
              <w:rPr>
                <w:rStyle w:val="SubtleReference"/>
                <w:b/>
                <w:color w:val="385623" w:themeColor="accent6" w:themeShade="80"/>
              </w:rPr>
              <w:t>aka “</w:t>
            </w:r>
            <w:proofErr w:type="spellStart"/>
            <w:r w:rsidRPr="00BB45A4">
              <w:rPr>
                <w:rStyle w:val="SubtleReference"/>
                <w:b/>
                <w:color w:val="385623" w:themeColor="accent6" w:themeShade="80"/>
              </w:rPr>
              <w:t>i</w:t>
            </w:r>
            <w:proofErr w:type="spellEnd"/>
            <w:r w:rsidRPr="00BB45A4">
              <w:rPr>
                <w:rStyle w:val="SubtleReference"/>
                <w:b/>
                <w:color w:val="385623" w:themeColor="accent6" w:themeShade="80"/>
              </w:rPr>
              <w:t xml:space="preserve"> like big theories and </w:t>
            </w:r>
            <w:proofErr w:type="spellStart"/>
            <w:r w:rsidRPr="00BB45A4">
              <w:rPr>
                <w:rStyle w:val="SubtleReference"/>
                <w:b/>
                <w:color w:val="385623" w:themeColor="accent6" w:themeShade="80"/>
              </w:rPr>
              <w:t>i</w:t>
            </w:r>
            <w:proofErr w:type="spellEnd"/>
            <w:r w:rsidRPr="00BB45A4">
              <w:rPr>
                <w:rStyle w:val="SubtleReference"/>
                <w:b/>
                <w:color w:val="385623" w:themeColor="accent6" w:themeShade="80"/>
              </w:rPr>
              <w:t xml:space="preserve"> cannot lie”</w:t>
            </w:r>
          </w:p>
        </w:tc>
      </w:tr>
      <w:tr w:rsidR="00B0090F" w:rsidRPr="00C94DCA" w14:paraId="22E5F071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61F1FF1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3190BC8" w14:textId="2C1A4B95" w:rsidR="00B0090F" w:rsidRPr="00C94DCA" w:rsidRDefault="00AE7E99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" w:hAnsi="Arial" w:cs="Arial"/>
                <w:sz w:val="19"/>
                <w:szCs w:val="19"/>
              </w:rPr>
              <w:t>MM2156</w:t>
            </w:r>
            <w:bookmarkStart w:id="0" w:name="_GoBack"/>
            <w:bookmarkEnd w:id="0"/>
          </w:p>
        </w:tc>
      </w:tr>
      <w:tr w:rsidR="00B0090F" w:rsidRPr="00C94DCA" w14:paraId="021FEED4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A45F165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84AA16F" w14:textId="6962D783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14:paraId="69F0C470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E19E3C7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2441BF0" w14:textId="04DB6843" w:rsidR="00B0090F" w:rsidRPr="00C94DCA" w:rsidRDefault="00BB45A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BB45A4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BB45A4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618B1648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4ACFF5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BCD643C" w14:textId="6AEEA861" w:rsidR="00B0090F" w:rsidRPr="00C94DCA" w:rsidRDefault="00BB45A4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 w:rsidRPr="00BB45A4"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1</w:t>
            </w:r>
            <w:r w:rsidRPr="00BB45A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676023FE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FE2A2BF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48A4404" w14:textId="08A23C07" w:rsidR="00B0090F" w:rsidRPr="00C94DCA" w:rsidRDefault="00BB45A4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14:paraId="4F73CF38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E51BF9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51309292" w14:textId="1A17CC09" w:rsidR="00B0090F" w:rsidRPr="00C94DCA" w:rsidRDefault="002E69B5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2 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(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6DD617F9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8E16B91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AE85371" w14:textId="238A7537" w:rsidR="00B0090F" w:rsidRPr="00C94DCA" w:rsidRDefault="002E69B5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Dr. Lorelei Caraman</w:t>
            </w:r>
          </w:p>
        </w:tc>
      </w:tr>
      <w:tr w:rsidR="00B0090F" w:rsidRPr="00C94DCA" w14:paraId="59DFA554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D030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7D24CF7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2E380BE9" w14:textId="77777777" w:rsidTr="00906B21">
        <w:tc>
          <w:tcPr>
            <w:tcW w:w="562" w:type="dxa"/>
            <w:shd w:val="clear" w:color="auto" w:fill="A6A6A6" w:themeFill="background1" w:themeFillShade="A6"/>
          </w:tcPr>
          <w:p w14:paraId="73D65C42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931" w:type="dxa"/>
            <w:gridSpan w:val="2"/>
            <w:shd w:val="clear" w:color="auto" w:fill="A6A6A6" w:themeFill="background1" w:themeFillShade="A6"/>
          </w:tcPr>
          <w:p w14:paraId="019E3A87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23CD19B2" w14:textId="77777777" w:rsidTr="00906B21">
        <w:tc>
          <w:tcPr>
            <w:tcW w:w="562" w:type="dxa"/>
            <w:shd w:val="clear" w:color="auto" w:fill="F2F2F2" w:themeFill="background1" w:themeFillShade="F2"/>
          </w:tcPr>
          <w:p w14:paraId="372DAC55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</w:tcPr>
          <w:p w14:paraId="1E550135" w14:textId="70C143E6" w:rsidR="00C94DCA" w:rsidRPr="002E69B5" w:rsidRDefault="00814805" w:rsidP="002E69B5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E1C0C85" w14:textId="5580CB11" w:rsidR="00C94DCA" w:rsidRPr="00C94DCA" w:rsidRDefault="002741B2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Critical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thinking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</w:p>
          <w:p w14:paraId="140A1310" w14:textId="5F4D12D7" w:rsidR="002741B2" w:rsidRDefault="002741B2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Communication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Skills</w:t>
            </w:r>
            <w:proofErr w:type="spellEnd"/>
          </w:p>
          <w:p w14:paraId="551921FB" w14:textId="2AD8A4B6" w:rsidR="00B0090F" w:rsidRDefault="002741B2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Integrative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Thinking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</w:p>
          <w:p w14:paraId="403987F4" w14:textId="77777777"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7A217973" w14:textId="6861EF8E" w:rsidR="00B0090F" w:rsidRPr="00C94DCA" w:rsidRDefault="002741B2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Applied Critical Thinking; </w:t>
            </w:r>
          </w:p>
          <w:p w14:paraId="713D1A80" w14:textId="2B09DCDE" w:rsidR="00C94DCA" w:rsidRDefault="002741B2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Applied Communication Skills; </w:t>
            </w:r>
          </w:p>
          <w:p w14:paraId="346AF369" w14:textId="1DFB2959" w:rsidR="002741B2" w:rsidRDefault="002741B2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Intercultural communication; </w:t>
            </w:r>
          </w:p>
          <w:p w14:paraId="476DF806" w14:textId="19F25B3A" w:rsidR="00BB45A4" w:rsidRPr="00C94DCA" w:rsidRDefault="00BB45A4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Academic Writing Skills; </w:t>
            </w:r>
          </w:p>
          <w:p w14:paraId="502E85BA" w14:textId="66B23FF9" w:rsidR="00C94DCA" w:rsidRPr="00C94DCA" w:rsidRDefault="00C94DCA" w:rsidP="002741B2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5AAB6104" w14:textId="77777777" w:rsidTr="00906B21">
        <w:tc>
          <w:tcPr>
            <w:tcW w:w="562" w:type="dxa"/>
            <w:shd w:val="clear" w:color="auto" w:fill="A6A6A6" w:themeFill="background1" w:themeFillShade="A6"/>
          </w:tcPr>
          <w:p w14:paraId="0E5F9570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931" w:type="dxa"/>
            <w:gridSpan w:val="2"/>
            <w:shd w:val="clear" w:color="auto" w:fill="A6A6A6" w:themeFill="background1" w:themeFillShade="A6"/>
          </w:tcPr>
          <w:p w14:paraId="03F4A004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23731314" w14:textId="77777777" w:rsidTr="00906B21">
        <w:tc>
          <w:tcPr>
            <w:tcW w:w="562" w:type="dxa"/>
            <w:shd w:val="clear" w:color="auto" w:fill="F2F2F2" w:themeFill="background1" w:themeFillShade="F2"/>
          </w:tcPr>
          <w:p w14:paraId="7BB5ACB1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</w:tcPr>
          <w:p w14:paraId="36A1D3AC" w14:textId="77777777" w:rsidR="004E14FD" w:rsidRDefault="00BB45A4" w:rsidP="00BB45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Knowledge of main critical theories from New Criticism to Posthumanism;</w:t>
            </w:r>
          </w:p>
          <w:p w14:paraId="11BE05D9" w14:textId="77777777" w:rsidR="00BB45A4" w:rsidRDefault="00BB45A4" w:rsidP="00BB45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Ability to apply theories to anything from literature to your own life;</w:t>
            </w:r>
          </w:p>
          <w:p w14:paraId="22EB8BAC" w14:textId="77777777" w:rsidR="00BB45A4" w:rsidRDefault="00BB45A4" w:rsidP="00BB45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Applied critical thinking skills;</w:t>
            </w:r>
          </w:p>
          <w:p w14:paraId="068C7213" w14:textId="77777777" w:rsidR="00BB45A4" w:rsidRDefault="00BB45A4" w:rsidP="00BB45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Applied problem-solving skills;</w:t>
            </w:r>
          </w:p>
          <w:p w14:paraId="6976EB6C" w14:textId="77777777" w:rsidR="00BB45A4" w:rsidRDefault="00BB45A4" w:rsidP="00BB45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Better understanding of literature and culture;</w:t>
            </w:r>
          </w:p>
          <w:p w14:paraId="2C389680" w14:textId="77777777" w:rsidR="00BB45A4" w:rsidRDefault="00BB45A4" w:rsidP="00BB45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Better understanding of yourself, others and the world around you; </w:t>
            </w:r>
          </w:p>
          <w:p w14:paraId="4AAD5653" w14:textId="77777777" w:rsidR="00BB45A4" w:rsidRDefault="00BB45A4" w:rsidP="00BB45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Ability to juggle with various theoretical concepts;</w:t>
            </w:r>
          </w:p>
          <w:p w14:paraId="4A9AC6F8" w14:textId="77777777" w:rsidR="00BB45A4" w:rsidRDefault="00906B21" w:rsidP="00BB45A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Ability to approach literature and culture from new perspectives; </w:t>
            </w:r>
          </w:p>
          <w:p w14:paraId="0EDBDB27" w14:textId="18B3F3C0" w:rsidR="00906B21" w:rsidRPr="00C94DCA" w:rsidRDefault="00906B21" w:rsidP="00906B21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59210458" w14:textId="77777777" w:rsidTr="00906B21">
        <w:tc>
          <w:tcPr>
            <w:tcW w:w="562" w:type="dxa"/>
            <w:shd w:val="clear" w:color="auto" w:fill="A6A6A6" w:themeFill="background1" w:themeFillShade="A6"/>
          </w:tcPr>
          <w:p w14:paraId="10AFAAA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931" w:type="dxa"/>
            <w:gridSpan w:val="2"/>
            <w:shd w:val="clear" w:color="auto" w:fill="A6A6A6" w:themeFill="background1" w:themeFillShade="A6"/>
          </w:tcPr>
          <w:p w14:paraId="3E338278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79A014AF" w14:textId="77777777" w:rsidTr="00906B21">
        <w:tc>
          <w:tcPr>
            <w:tcW w:w="562" w:type="dxa"/>
            <w:shd w:val="clear" w:color="auto" w:fill="F2F2F2" w:themeFill="background1" w:themeFillShade="F2"/>
          </w:tcPr>
          <w:p w14:paraId="62B07A22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</w:tcPr>
          <w:p w14:paraId="3D4B785C" w14:textId="0CCFDBF3" w:rsidR="004E14FD" w:rsidRPr="004E14FD" w:rsidRDefault="004E14FD" w:rsidP="00C94DCA">
            <w:pPr>
              <w:jc w:val="both"/>
              <w:rPr>
                <w:rFonts w:ascii="Arial Narrow" w:hAnsi="Arial Narrow" w:cs="Arial"/>
                <w:u w:val="single"/>
                <w:lang w:val="ro-RO"/>
              </w:rPr>
            </w:pPr>
            <w:r w:rsidRPr="004E14FD">
              <w:rPr>
                <w:rFonts w:ascii="Arial Narrow" w:hAnsi="Arial Narrow" w:cs="Arial"/>
                <w:u w:val="single"/>
                <w:lang w:val="ro-RO"/>
              </w:rPr>
              <w:t>General course description:</w:t>
            </w:r>
          </w:p>
          <w:p w14:paraId="56B6AB67" w14:textId="1E882679" w:rsidR="00906B21" w:rsidRPr="00906B21" w:rsidRDefault="00906B21" w:rsidP="00906B21">
            <w:pPr>
              <w:jc w:val="both"/>
              <w:rPr>
                <w:rFonts w:ascii="Arial Narrow" w:hAnsi="Arial Narrow" w:cs="Arial"/>
                <w:i/>
                <w:iCs/>
                <w:lang w:val="ro-RO"/>
              </w:rPr>
            </w:pPr>
            <w:r w:rsidRPr="00906B21">
              <w:rPr>
                <w:rFonts w:ascii="Arial Narrow" w:hAnsi="Arial Narrow" w:cs="Arial"/>
                <w:i/>
                <w:iCs/>
                <w:lang w:val="ro-RO"/>
              </w:rPr>
              <w:t>The Introduction to Literary and Cultural Theories course is an odyssey taking place on a territory feared by many and avoided by most: that of theory and criticism. Big scary names and strange-sounding words inhabit this unfamiliar realm: Saussure, Derrida, Lacan, Freud, alterity, hegemony, logocentrism, anthropocentrism, phallogocentrism... names and words that may have given you headaches as a freshman. So why embark upon such a frightful journey you may ask? Because beauty, pleasure, enjoyment, playfulness, are not always to be found in the most expected places. Sometimes they are concealed from a naked or untrained eye, other times they may take different forms, shape shift like a Native American spirit...waiting to reveal themselves to the minds of the keenest</w:t>
            </w:r>
            <w:r>
              <w:rPr>
                <w:rFonts w:ascii="Arial Narrow" w:hAnsi="Arial Narrow" w:cs="Arial"/>
                <w:i/>
                <w:iCs/>
                <w:lang w:val="ro-RO"/>
              </w:rPr>
              <w:t xml:space="preserve"> and bravest </w:t>
            </w:r>
            <w:r w:rsidRPr="00906B21">
              <w:rPr>
                <w:rFonts w:ascii="Arial Narrow" w:hAnsi="Arial Narrow" w:cs="Arial"/>
                <w:i/>
                <w:iCs/>
                <w:lang w:val="ro-RO"/>
              </w:rPr>
              <w:t xml:space="preserve">students. So, this course is meant not only to make you less afraid of theory, but also to enable you to see its beauty and use its power to your advantage: to be empowered, rather than overpowered by it. </w:t>
            </w:r>
          </w:p>
          <w:p w14:paraId="68989F3B" w14:textId="3159958F" w:rsidR="004E14FD" w:rsidRDefault="00906B21" w:rsidP="00906B21">
            <w:pPr>
              <w:jc w:val="both"/>
              <w:rPr>
                <w:rFonts w:ascii="Arial Narrow" w:hAnsi="Arial Narrow" w:cs="Arial"/>
                <w:i/>
                <w:iCs/>
                <w:lang w:val="ro-RO"/>
              </w:rPr>
            </w:pPr>
            <w:r w:rsidRPr="00906B21">
              <w:rPr>
                <w:rFonts w:ascii="Arial Narrow" w:hAnsi="Arial Narrow" w:cs="Arial"/>
                <w:i/>
                <w:iCs/>
                <w:lang w:val="ro-RO"/>
              </w:rPr>
              <w:t>To those of you who are brave enough to embark on this journey, I salute you!</w:t>
            </w:r>
          </w:p>
          <w:p w14:paraId="54CB5CCC" w14:textId="77777777" w:rsidR="00906B21" w:rsidRDefault="00906B21" w:rsidP="00906B21">
            <w:pPr>
              <w:jc w:val="both"/>
              <w:rPr>
                <w:rFonts w:ascii="Arial Narrow" w:hAnsi="Arial Narrow" w:cs="Arial"/>
                <w:i/>
                <w:iCs/>
                <w:lang w:val="ro-RO"/>
              </w:rPr>
            </w:pPr>
          </w:p>
          <w:p w14:paraId="1156ECAC" w14:textId="77777777" w:rsidR="00906B21" w:rsidRDefault="00906B21" w:rsidP="00C94DCA">
            <w:pPr>
              <w:jc w:val="both"/>
              <w:rPr>
                <w:rFonts w:ascii="Arial Narrow" w:hAnsi="Arial Narrow" w:cs="Arial"/>
                <w:u w:val="single"/>
                <w:lang w:val="ro-RO"/>
              </w:rPr>
            </w:pPr>
            <w:r>
              <w:rPr>
                <w:rFonts w:ascii="Arial Narrow" w:hAnsi="Arial Narrow" w:cs="Arial"/>
                <w:u w:val="single"/>
                <w:lang w:val="ro-RO"/>
              </w:rPr>
              <w:t>SCHEDULE, TOPICS &amp; RECOMMENDED FUNDAMENTAL THEORY TEXTS</w:t>
            </w:r>
          </w:p>
          <w:p w14:paraId="0AED97EE" w14:textId="77777777" w:rsidR="00906B21" w:rsidRDefault="00906B21" w:rsidP="00C94DCA">
            <w:pPr>
              <w:jc w:val="both"/>
              <w:rPr>
                <w:rFonts w:ascii="Arial Narrow" w:hAnsi="Arial Narrow" w:cs="Arial"/>
                <w:u w:val="single"/>
                <w:lang w:val="ro-RO"/>
              </w:rPr>
            </w:pPr>
          </w:p>
          <w:p w14:paraId="1D35C0D6" w14:textId="4EC23164" w:rsidR="004E14FD" w:rsidRPr="004E14FD" w:rsidRDefault="004E14FD" w:rsidP="00C94DCA">
            <w:pPr>
              <w:jc w:val="both"/>
              <w:rPr>
                <w:rFonts w:ascii="Arial Narrow" w:hAnsi="Arial Narrow" w:cs="Arial"/>
                <w:i/>
                <w:iCs/>
                <w:u w:val="single"/>
                <w:lang w:val="ro-RO"/>
              </w:rPr>
            </w:pPr>
            <w:r w:rsidRPr="004E14FD">
              <w:rPr>
                <w:rFonts w:ascii="Arial Narrow" w:hAnsi="Arial Narrow" w:cs="Arial"/>
                <w:i/>
                <w:iCs/>
                <w:u w:val="single"/>
                <w:lang w:val="ro-RO"/>
              </w:rPr>
              <w:t xml:space="preserve"> </w:t>
            </w:r>
          </w:p>
          <w:p w14:paraId="6A545607" w14:textId="77777777" w:rsidR="00906B21" w:rsidRDefault="00906B21" w:rsidP="0090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1:</w:t>
            </w:r>
            <w:r>
              <w:rPr>
                <w:rFonts w:ascii="Times New Roman" w:hAnsi="Times New Roman" w:cs="Times New Roman"/>
              </w:rPr>
              <w:t xml:space="preserve"> Going over the </w:t>
            </w:r>
            <w:r>
              <w:rPr>
                <w:rFonts w:ascii="Times New Roman" w:hAnsi="Times New Roman" w:cs="Times New Roman"/>
                <w:b/>
                <w:bCs/>
              </w:rPr>
              <w:t>Syllabus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752E1F" w14:textId="71BE4FC1" w:rsidR="00906B21" w:rsidRDefault="00906B21" w:rsidP="00906B21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noProof/>
                <w:lang w:val="ro-RO" w:eastAsia="ro-RO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18D5E9C7" wp14:editId="4D1A5C5D">
                  <wp:simplePos x="0" y="0"/>
                  <wp:positionH relativeFrom="column">
                    <wp:posOffset>3514705</wp:posOffset>
                  </wp:positionH>
                  <wp:positionV relativeFrom="paragraph">
                    <wp:posOffset>39371</wp:posOffset>
                  </wp:positionV>
                  <wp:extent cx="1901209" cy="1463040"/>
                  <wp:effectExtent l="0" t="0" r="3810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57" cy="1464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</w:rPr>
              <w:t>Week 2: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“I like big theories and I cannot lie”</w:t>
            </w:r>
            <w:r>
              <w:rPr>
                <w:rFonts w:ascii="Times New Roman" w:hAnsi="Times New Roman" w:cs="Times New Roman"/>
              </w:rPr>
              <w:t>: Why We Do Theory &amp; What It Does to Us</w:t>
            </w:r>
          </w:p>
          <w:p w14:paraId="6A774475" w14:textId="77777777" w:rsidR="00906B21" w:rsidRDefault="00906B21" w:rsidP="0090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3: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New Criticism, Formalism &amp; Structuralism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8A3D9A" w14:textId="255681B6" w:rsidR="00906B21" w:rsidRDefault="00906B21" w:rsidP="00906B2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1824" behindDoc="1" locked="0" layoutInCell="1" allowOverlap="1" wp14:anchorId="61764298" wp14:editId="66AD670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122555</wp:posOffset>
                  </wp:positionV>
                  <wp:extent cx="360045" cy="360045"/>
                  <wp:effectExtent l="0" t="0" r="190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Recommended Fundamental Theory Texts: </w:t>
            </w:r>
          </w:p>
          <w:p w14:paraId="5E6A3BDF" w14:textId="77777777" w:rsidR="00906B21" w:rsidRDefault="00906B21" w:rsidP="00906B21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Crowe Ransom: “Criticism, Inc.”</w:t>
            </w:r>
          </w:p>
          <w:p w14:paraId="2C87CED4" w14:textId="77777777" w:rsidR="00906B21" w:rsidRDefault="00906B21" w:rsidP="00906B21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Barthes: “The Death of the Author” </w:t>
            </w:r>
          </w:p>
          <w:p w14:paraId="7116554F" w14:textId="77777777" w:rsidR="00906B21" w:rsidRDefault="00906B21" w:rsidP="00906B21">
            <w:pPr>
              <w:pStyle w:val="ListParagraph"/>
              <w:spacing w:line="240" w:lineRule="auto"/>
              <w:ind w:left="426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Handout 1: Working with Form</w:t>
            </w:r>
          </w:p>
          <w:p w14:paraId="00D39DAE" w14:textId="77777777" w:rsidR="00906B21" w:rsidRDefault="00906B21" w:rsidP="0090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4: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Reader-Response (Reception Theory)</w:t>
            </w:r>
          </w:p>
          <w:p w14:paraId="5154D7EE" w14:textId="0F727BD1" w:rsidR="00906B21" w:rsidRDefault="00906B21" w:rsidP="00906B2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3632" behindDoc="1" locked="0" layoutInCell="1" allowOverlap="1" wp14:anchorId="10E5B01E" wp14:editId="0EB9F82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154305</wp:posOffset>
                  </wp:positionV>
                  <wp:extent cx="360045" cy="360045"/>
                  <wp:effectExtent l="0" t="0" r="1905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Recommended Fundamental Theory Texts: </w:t>
            </w:r>
          </w:p>
          <w:p w14:paraId="3EEC9663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Fish: “Is There a Text in this Class?” </w:t>
            </w:r>
          </w:p>
          <w:p w14:paraId="15521980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Holland: “Transactive Criticism” </w:t>
            </w:r>
          </w:p>
          <w:p w14:paraId="09A90C8F" w14:textId="77777777" w:rsidR="00906B21" w:rsidRDefault="00906B21" w:rsidP="00906B21">
            <w:pPr>
              <w:ind w:left="426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Handout 2: Working with the Reader</w:t>
            </w:r>
          </w:p>
          <w:p w14:paraId="3553813F" w14:textId="77777777" w:rsidR="00906B21" w:rsidRDefault="00906B21" w:rsidP="0090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5: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Psychoanalysis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9229AC" w14:textId="77777777" w:rsidR="00906B21" w:rsidRDefault="00906B21" w:rsidP="00906B2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Recommended Fundamental Theory Texts: </w:t>
            </w:r>
          </w:p>
          <w:p w14:paraId="055598E2" w14:textId="687EB5D7" w:rsidR="00906B21" w:rsidRDefault="00906B21" w:rsidP="00906B21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4656" behindDoc="1" locked="0" layoutInCell="1" allowOverlap="1" wp14:anchorId="56A21BC8" wp14:editId="22B72E7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6985</wp:posOffset>
                  </wp:positionV>
                  <wp:extent cx="360045" cy="360045"/>
                  <wp:effectExtent l="0" t="0" r="190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S. Freud: “Creative Writers and Day-dreaming”</w:t>
            </w:r>
          </w:p>
          <w:p w14:paraId="3FD6D112" w14:textId="77777777" w:rsidR="00906B21" w:rsidRDefault="00906B21" w:rsidP="00906B21">
            <w:pPr>
              <w:pStyle w:val="ListParagraph"/>
              <w:spacing w:line="240" w:lineRule="auto"/>
              <w:ind w:left="1429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Lacan: “The Mirror Stage as Formative of the Function of the I as Revealed in Psychoanalytic Experience”</w:t>
            </w:r>
          </w:p>
          <w:p w14:paraId="2F1F7782" w14:textId="77777777" w:rsidR="00906B21" w:rsidRDefault="00906B21" w:rsidP="00906B21">
            <w:pPr>
              <w:pStyle w:val="ListParagraph"/>
              <w:spacing w:line="240" w:lineRule="auto"/>
              <w:ind w:left="426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Handout 3: Working with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Psyché</w:t>
            </w:r>
            <w:proofErr w:type="spellEnd"/>
          </w:p>
          <w:p w14:paraId="65387324" w14:textId="77777777" w:rsidR="00906B21" w:rsidRDefault="00906B21" w:rsidP="00906B21">
            <w:pPr>
              <w:rPr>
                <w:rFonts w:ascii="Times New Roman" w:hAnsi="Times New Roman" w:cs="Times New Roman"/>
                <w:b/>
                <w:bCs/>
                <w:color w:val="AC1476"/>
              </w:rPr>
            </w:pPr>
            <w:r>
              <w:rPr>
                <w:rFonts w:ascii="Times New Roman" w:hAnsi="Times New Roman" w:cs="Times New Roman"/>
                <w:b/>
                <w:bCs/>
                <w:color w:val="AC1476"/>
              </w:rPr>
              <w:t>Week 6:</w:t>
            </w:r>
            <w:r>
              <w:rPr>
                <w:rFonts w:ascii="Times New Roman" w:hAnsi="Times New Roman" w:cs="Times New Roman"/>
                <w:color w:val="AC147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C1476"/>
              </w:rPr>
              <w:t xml:space="preserve">Theories Lab 1 (+ Avoiding Plagiarism) </w:t>
            </w:r>
          </w:p>
          <w:p w14:paraId="41A61FC5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>Your questions on New Criticism, Structuralism, Reader-Response and Psychoanalysis.</w:t>
            </w:r>
          </w:p>
          <w:p w14:paraId="1D1D8D6E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 xml:space="preserve">Your questions on the recommended fundamental theory texts. </w:t>
            </w:r>
          </w:p>
          <w:p w14:paraId="11C765AB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 xml:space="preserve">Working with Form, the Reader &amp; the </w:t>
            </w:r>
            <w:proofErr w:type="spellStart"/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>Psyché</w:t>
            </w:r>
            <w:proofErr w:type="spellEnd"/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 xml:space="preserve">: What do we ask of the Text? </w:t>
            </w:r>
          </w:p>
          <w:p w14:paraId="29940725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 xml:space="preserve">What is plagiarism &amp; whom does it hurt? Types of Plagiarism. </w:t>
            </w:r>
          </w:p>
          <w:p w14:paraId="2EE2EEDC" w14:textId="77777777" w:rsidR="00906B21" w:rsidRDefault="00906B21" w:rsidP="0090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7: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Feminism, Gender &amp; Queer Studies</w:t>
            </w:r>
          </w:p>
          <w:p w14:paraId="52F22E49" w14:textId="6A7417CB" w:rsidR="00906B21" w:rsidRDefault="00906B21" w:rsidP="00906B2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5680" behindDoc="1" locked="0" layoutInCell="1" allowOverlap="1" wp14:anchorId="241099EE" wp14:editId="0BC0471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160020</wp:posOffset>
                  </wp:positionV>
                  <wp:extent cx="360045" cy="360045"/>
                  <wp:effectExtent l="0" t="0" r="1905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Recommended Fundamental Theory Texts: </w:t>
            </w:r>
          </w:p>
          <w:p w14:paraId="2FE6817C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Moi: “Feminist, Female, Feminine”</w:t>
            </w:r>
          </w:p>
          <w:p w14:paraId="39023928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Rubin: “Thinking Sex: Notes for a Radical Theory of the Politics of Sexuality”</w:t>
            </w:r>
          </w:p>
          <w:p w14:paraId="25577578" w14:textId="77777777" w:rsidR="00906B21" w:rsidRDefault="00906B21" w:rsidP="00906B21">
            <w:pPr>
              <w:ind w:left="28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Handout 4: Working with Gender and Sexuality</w:t>
            </w:r>
          </w:p>
          <w:p w14:paraId="27425071" w14:textId="77777777" w:rsidR="00906B21" w:rsidRDefault="00906B21" w:rsidP="00906B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8: Poststructuralism/ Deconstruction </w:t>
            </w:r>
          </w:p>
          <w:p w14:paraId="3614BC58" w14:textId="66CF6D96" w:rsidR="00906B21" w:rsidRDefault="00906B21" w:rsidP="00906B2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6704" behindDoc="1" locked="0" layoutInCell="1" allowOverlap="1" wp14:anchorId="2BEE03DF" wp14:editId="2216FC0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140335</wp:posOffset>
                  </wp:positionV>
                  <wp:extent cx="360045" cy="360045"/>
                  <wp:effectExtent l="0" t="0" r="190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Recommended Fundamental Theory Texts: </w:t>
            </w:r>
          </w:p>
          <w:p w14:paraId="548A45C6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Derrida: “Structure, Sign, and Play in the Discourse of the Human Sciences”</w:t>
            </w:r>
          </w:p>
          <w:p w14:paraId="57A3938C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J. Hillis Miller – “The Critic as Host” </w:t>
            </w:r>
          </w:p>
          <w:p w14:paraId="39603ACD" w14:textId="77777777" w:rsidR="00906B21" w:rsidRDefault="00906B21" w:rsidP="00906B21">
            <w:pPr>
              <w:ind w:left="284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Handout 5: Working with the Instability of Language</w:t>
            </w:r>
          </w:p>
          <w:p w14:paraId="3BBC9540" w14:textId="77777777" w:rsidR="00906B21" w:rsidRDefault="00906B21" w:rsidP="00906B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9: Cultural Studies, New Historicism &amp; Postcolonialism </w:t>
            </w:r>
          </w:p>
          <w:p w14:paraId="4CB69CBA" w14:textId="77777777" w:rsidR="00906B21" w:rsidRDefault="00906B21" w:rsidP="00906B2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Recommended Fundamental Theory Texts: </w:t>
            </w:r>
          </w:p>
          <w:p w14:paraId="14A77BAA" w14:textId="13D409C5" w:rsidR="00906B21" w:rsidRDefault="00906B21" w:rsidP="00906B21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7728" behindDoc="1" locked="0" layoutInCell="1" allowOverlap="1" wp14:anchorId="651755A1" wp14:editId="23050D1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15875</wp:posOffset>
                  </wp:positionV>
                  <wp:extent cx="360045" cy="360045"/>
                  <wp:effectExtent l="0" t="0" r="190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R. Barthes: “Striptease” (from </w:t>
            </w:r>
            <w:r>
              <w:rPr>
                <w:rFonts w:ascii="Times New Roman" w:hAnsi="Times New Roman" w:cs="Times New Roman"/>
                <w:i/>
                <w:iCs/>
              </w:rPr>
              <w:t>Mythologies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783FF867" w14:textId="77777777" w:rsidR="00906B21" w:rsidRDefault="00906B21" w:rsidP="00906B21">
            <w:pPr>
              <w:pStyle w:val="ListParagraph"/>
              <w:spacing w:line="240" w:lineRule="auto"/>
              <w:ind w:left="144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Bordo</w:t>
            </w:r>
            <w:proofErr w:type="spellEnd"/>
            <w:r>
              <w:rPr>
                <w:rFonts w:ascii="Times New Roman" w:hAnsi="Times New Roman" w:cs="Times New Roman"/>
              </w:rPr>
              <w:t xml:space="preserve">: “The Body and the Reproduction of Femininity” (from </w:t>
            </w:r>
            <w:r>
              <w:rPr>
                <w:rFonts w:ascii="Times New Roman" w:hAnsi="Times New Roman" w:cs="Times New Roman"/>
                <w:i/>
                <w:iCs/>
              </w:rPr>
              <w:t>Unbearable Weight: Feminism, Western Culture and the Body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49298AD8" w14:textId="77777777" w:rsidR="00906B21" w:rsidRDefault="00906B21" w:rsidP="00906B21">
            <w:pPr>
              <w:pStyle w:val="ListParagraph"/>
              <w:spacing w:line="240" w:lineRule="auto"/>
              <w:ind w:left="28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Handout 6: Working with Alterity &amp; Structures of Power</w:t>
            </w:r>
          </w:p>
          <w:p w14:paraId="59C04B05" w14:textId="77777777" w:rsidR="00906B21" w:rsidRDefault="00906B21" w:rsidP="00906B21">
            <w:pPr>
              <w:rPr>
                <w:rFonts w:ascii="Times New Roman" w:hAnsi="Times New Roman" w:cs="Times New Roman"/>
                <w:b/>
                <w:bCs/>
                <w:color w:val="AC1476"/>
              </w:rPr>
            </w:pPr>
            <w:r>
              <w:rPr>
                <w:rFonts w:ascii="Times New Roman" w:hAnsi="Times New Roman" w:cs="Times New Roman"/>
                <w:b/>
                <w:bCs/>
                <w:color w:val="AC1476"/>
              </w:rPr>
              <w:t xml:space="preserve">Week 10: Theories Lab 2 (+ More on Avoiding Plagiarism) </w:t>
            </w:r>
          </w:p>
          <w:p w14:paraId="410AF4C1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>Your questions on Feminism, Gender, Queer Studies, Deconstruction &amp; Cultural Studies</w:t>
            </w:r>
          </w:p>
          <w:p w14:paraId="5C5C6634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 xml:space="preserve">Your questions on the recommended fundamental theory texts. </w:t>
            </w:r>
          </w:p>
          <w:p w14:paraId="5FC9CDC7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 xml:space="preserve">Working with Gender &amp; Sexuality, the Instability of Language, the “Other” &amp; Structures of Power: What do we ask of the Text? </w:t>
            </w:r>
          </w:p>
          <w:p w14:paraId="5BE832EB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 xml:space="preserve">Recognizing Plagiarism Exercises. </w:t>
            </w:r>
          </w:p>
          <w:p w14:paraId="75F64339" w14:textId="77777777" w:rsidR="00906B21" w:rsidRDefault="00906B21" w:rsidP="00906B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11: Posthumanism: Human-Animal Studies, Ecocriticism, Transhumanism</w:t>
            </w:r>
          </w:p>
          <w:p w14:paraId="037DEA75" w14:textId="77777777" w:rsidR="00906B21" w:rsidRDefault="00906B21" w:rsidP="00906B2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Recommended Fundamental Theory Texts: </w:t>
            </w:r>
          </w:p>
          <w:p w14:paraId="10982AA7" w14:textId="52BAAD26" w:rsidR="00906B21" w:rsidRDefault="00906B21" w:rsidP="00906B21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752" behindDoc="1" locked="0" layoutInCell="1" allowOverlap="1" wp14:anchorId="4B3CF69A" wp14:editId="5DC1111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85725</wp:posOffset>
                  </wp:positionV>
                  <wp:extent cx="360045" cy="360045"/>
                  <wp:effectExtent l="0" t="0" r="190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J. Derrida: “The Animal that Therefore I am (More to Follow)” </w:t>
            </w:r>
          </w:p>
          <w:p w14:paraId="38A8F939" w14:textId="77777777" w:rsidR="00906B21" w:rsidRDefault="00906B21" w:rsidP="00906B21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Harraway</w:t>
            </w:r>
            <w:proofErr w:type="spellEnd"/>
            <w:r>
              <w:rPr>
                <w:rFonts w:ascii="Times New Roman" w:hAnsi="Times New Roman" w:cs="Times New Roman"/>
              </w:rPr>
              <w:t xml:space="preserve">: “We have never been Human: Introductions” (from </w:t>
            </w:r>
            <w:r>
              <w:rPr>
                <w:rFonts w:ascii="Times New Roman" w:hAnsi="Times New Roman" w:cs="Times New Roman"/>
                <w:i/>
                <w:iCs/>
              </w:rPr>
              <w:t>When Species Meet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56DCE28" w14:textId="77777777" w:rsidR="00906B21" w:rsidRDefault="00906B21" w:rsidP="00906B21">
            <w:pPr>
              <w:pStyle w:val="ListParagraph"/>
              <w:spacing w:line="240" w:lineRule="auto"/>
              <w:ind w:left="144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Katherine </w:t>
            </w:r>
            <w:proofErr w:type="spellStart"/>
            <w:r>
              <w:rPr>
                <w:rFonts w:ascii="Times New Roman" w:hAnsi="Times New Roman" w:cs="Times New Roman"/>
              </w:rPr>
              <w:t>Hayles</w:t>
            </w:r>
            <w:proofErr w:type="spellEnd"/>
            <w:r>
              <w:rPr>
                <w:rFonts w:ascii="Times New Roman" w:hAnsi="Times New Roman" w:cs="Times New Roman"/>
              </w:rPr>
              <w:t xml:space="preserve">: “Virtual Bodies and Flickering Signifiers” (from </w:t>
            </w:r>
            <w:r>
              <w:rPr>
                <w:rFonts w:ascii="Times New Roman" w:hAnsi="Times New Roman" w:cs="Times New Roman"/>
                <w:i/>
                <w:iCs/>
              </w:rPr>
              <w:t>How We Became Posthuman: Virtual Bodies in Cybernetics, Literature, and Informatics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208AB531" w14:textId="77777777" w:rsidR="00906B21" w:rsidRDefault="00906B21" w:rsidP="00906B21">
            <w:pPr>
              <w:pStyle w:val="ListParagraph"/>
              <w:spacing w:line="240" w:lineRule="auto"/>
              <w:ind w:left="28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Handout 7: Working against Anthropocentrism </w:t>
            </w:r>
          </w:p>
          <w:p w14:paraId="0455D86B" w14:textId="77777777" w:rsidR="00906B21" w:rsidRDefault="00906B21" w:rsidP="00906B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12: Trauma, Disability &amp; Mad Studies + Other Emerging Theories </w:t>
            </w:r>
          </w:p>
          <w:p w14:paraId="6C5C3C83" w14:textId="367E2CBB" w:rsidR="00906B21" w:rsidRDefault="00906B21" w:rsidP="00906B2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9776" behindDoc="1" locked="0" layoutInCell="1" allowOverlap="1" wp14:anchorId="7CCD481C" wp14:editId="5D3ADEB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161925</wp:posOffset>
                  </wp:positionV>
                  <wp:extent cx="360045" cy="360045"/>
                  <wp:effectExtent l="0" t="0" r="190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Recommended Fundamental Theory Texts: </w:t>
            </w:r>
          </w:p>
          <w:p w14:paraId="298A5DE9" w14:textId="77777777" w:rsidR="00906B21" w:rsidRDefault="00906B21" w:rsidP="00906B21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H. Hartman: “On Traumatic Knowledge and Literary Studies”</w:t>
            </w:r>
          </w:p>
          <w:p w14:paraId="3C4171E9" w14:textId="77777777" w:rsidR="00906B21" w:rsidRDefault="00906B21" w:rsidP="00906B21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Price: “Introduction” in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Mad at School: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Rhetorics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of Mental Disability and Academic Life</w:t>
            </w:r>
          </w:p>
          <w:p w14:paraId="35BBCF50" w14:textId="57EA4DB1" w:rsidR="00906B21" w:rsidRDefault="00906B21" w:rsidP="00906B21">
            <w:pPr>
              <w:pStyle w:val="ListParagraph"/>
              <w:spacing w:line="240" w:lineRule="auto"/>
              <w:ind w:left="284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Handout 8: Working with Emerging Theories </w:t>
            </w:r>
          </w:p>
          <w:p w14:paraId="259E1AEC" w14:textId="77777777" w:rsidR="00906B21" w:rsidRDefault="00906B21" w:rsidP="00906B21">
            <w:pPr>
              <w:rPr>
                <w:rFonts w:ascii="Times New Roman" w:hAnsi="Times New Roman" w:cs="Times New Roman"/>
                <w:b/>
                <w:bCs/>
                <w:color w:val="AC1476"/>
              </w:rPr>
            </w:pPr>
            <w:r>
              <w:rPr>
                <w:rFonts w:ascii="Times New Roman" w:hAnsi="Times New Roman" w:cs="Times New Roman"/>
                <w:b/>
                <w:bCs/>
                <w:color w:val="AC1476"/>
              </w:rPr>
              <w:t>Week 13: Theories Lab 3</w:t>
            </w:r>
          </w:p>
          <w:p w14:paraId="3D7BA60D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>Your questions on Posthumanism, Trauma, Disability, Mad Studies &amp; Other Emerging Theories</w:t>
            </w:r>
          </w:p>
          <w:p w14:paraId="4B9E2427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 xml:space="preserve">Your questions on the recommended fundamental theory texts. </w:t>
            </w:r>
          </w:p>
          <w:p w14:paraId="0CDDC76F" w14:textId="77777777" w:rsidR="00906B21" w:rsidRDefault="00906B21" w:rsidP="00906B21">
            <w:pPr>
              <w:ind w:left="720"/>
              <w:rPr>
                <w:rFonts w:ascii="Times New Roman" w:hAnsi="Times New Roman" w:cs="Times New Roman"/>
                <w:color w:val="AC147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C1476"/>
                <w:sz w:val="20"/>
                <w:szCs w:val="20"/>
              </w:rPr>
              <w:t xml:space="preserve">Working against Anthropocentrism &amp; Incorporating Emerging Theories: What do we ask of the Text? </w:t>
            </w:r>
          </w:p>
          <w:p w14:paraId="52B35D09" w14:textId="3D65DF1C" w:rsidR="00906B21" w:rsidRPr="00906B21" w:rsidRDefault="00906B21" w:rsidP="00906B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14: Final Paper Guidelines Review</w:t>
            </w:r>
          </w:p>
          <w:p w14:paraId="69EB0EB5" w14:textId="7A5E4888" w:rsidR="004E14FD" w:rsidRPr="004E14FD" w:rsidRDefault="004E14FD" w:rsidP="00906B21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D0F571A" w14:textId="77777777" w:rsidTr="00906B21">
        <w:tc>
          <w:tcPr>
            <w:tcW w:w="562" w:type="dxa"/>
            <w:shd w:val="clear" w:color="auto" w:fill="A6A6A6" w:themeFill="background1" w:themeFillShade="A6"/>
          </w:tcPr>
          <w:p w14:paraId="0D46831A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931" w:type="dxa"/>
            <w:gridSpan w:val="2"/>
            <w:shd w:val="clear" w:color="auto" w:fill="A6A6A6" w:themeFill="background1" w:themeFillShade="A6"/>
          </w:tcPr>
          <w:p w14:paraId="652023E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B8E3D73" w14:textId="77777777" w:rsidTr="00906B21">
        <w:tc>
          <w:tcPr>
            <w:tcW w:w="562" w:type="dxa"/>
            <w:shd w:val="clear" w:color="auto" w:fill="F2F2F2" w:themeFill="background1" w:themeFillShade="F2"/>
          </w:tcPr>
          <w:p w14:paraId="708D3AA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931" w:type="dxa"/>
            <w:gridSpan w:val="2"/>
            <w:shd w:val="clear" w:color="auto" w:fill="F2F2F2" w:themeFill="background1" w:themeFillShade="F2"/>
          </w:tcPr>
          <w:p w14:paraId="75106AC4" w14:textId="77777777" w:rsidR="00B0090F" w:rsidRPr="00C94DCA" w:rsidRDefault="00B0090F" w:rsidP="00CA0D08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</w:p>
          <w:p w14:paraId="306ED076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Barry, Peter (ed). Issues in Contemporary Critical Theory (Macmillan: 1987). *Available at the Reading Room</w:t>
            </w:r>
          </w:p>
          <w:p w14:paraId="264007A0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Booker, Keith M. A Practical Introduction to Literary Theory and Criticism (Longman: 1996) *Available at the Reading Room</w:t>
            </w:r>
          </w:p>
          <w:p w14:paraId="017146EB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Collins, Jeff, Mayblin, Bill. Introducing Derrida: A Graphic Guide. (London: Icon Books, 2011).</w:t>
            </w:r>
          </w:p>
          <w:p w14:paraId="71BA44EA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Culler, Jonathan. Structuralist Poetics: Structuralism, Linguistics and the Study of Literature (Routledge: 2004). </w:t>
            </w:r>
          </w:p>
          <w:p w14:paraId="11F2B0E9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Culler, Jonathan. On deconstruction: Theory and Criticism after Structuralism. (Cornell University Press: 1986). </w:t>
            </w:r>
          </w:p>
          <w:p w14:paraId="267988E1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Davis, Lennard J. The Disability Studies Reader. 4th ed. (Routledge: 2013). </w:t>
            </w:r>
          </w:p>
          <w:p w14:paraId="1F84D5FD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DeMello, Margo. Animals and Society: An Introduction to Human-Animal Studies. (Columbia University Press: 2012).</w:t>
            </w:r>
          </w:p>
          <w:p w14:paraId="461211DE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Dobie, Ann B. Theory into Practice: An Introduction to Literary Criticism, 3rd ed. (Wadsworth, 2012). </w:t>
            </w:r>
          </w:p>
          <w:p w14:paraId="3E444C03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Guerin, L. Wilfred et.al. (eds). A Handbook of Critical Approaches to Literature. 5th ed. (Oxford 2005)</w:t>
            </w:r>
          </w:p>
          <w:p w14:paraId="5D24EB2D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Haggerty, George (ed). A Companion to Lesbian, Gay, Bisexual, Transgender, and Queer Studies (Blackwell, 2007). </w:t>
            </w:r>
          </w:p>
          <w:p w14:paraId="6C5F0040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Hartman, Geoffrey H. (ed.) Psychoanalysis &amp; The Question of the Text (Johns Hopkins University Press: 1978) *Available at the Reading Room</w:t>
            </w:r>
          </w:p>
          <w:p w14:paraId="13998E77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Hayles, Katherine N. My Mother Was a Computer: Digital Subjects and Literary Texts. (University of Chicago Press, 2005). </w:t>
            </w:r>
          </w:p>
          <w:p w14:paraId="04FB1E69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Jenainati, Cathia. Groves, Judy. Introducing Feminism: A Graphic Guide. (London: Icon Books, 2010). </w:t>
            </w:r>
          </w:p>
          <w:p w14:paraId="30CA57F2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Klages, Mary. Literary Theory: A Guide for the Perplexed (Continnum, 2011). </w:t>
            </w:r>
          </w:p>
          <w:p w14:paraId="5D9CA26C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Leitch, B. Vincent (ed). The Norton Anthology of Theory and Criticism (Norton: 2010). *Available at the Department Library</w:t>
            </w:r>
          </w:p>
          <w:p w14:paraId="5D0FFC53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Marcus, Laura. Mukherjee, Ankhi. A Concise Companion to Psychoanalysis, Literature and Culture. (Blackwell, 2014). </w:t>
            </w:r>
          </w:p>
          <w:p w14:paraId="1FB86CED" w14:textId="77777777" w:rsidR="004E14FD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Matthews, Sean et.al. (eds). Theories: A Reader (Paralela 45: 2003) *Available at the Reading Room</w:t>
            </w:r>
          </w:p>
          <w:p w14:paraId="52CD9854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Moi, Toril. What is a Woman? And Other Essays (Oxford University Press: 1999). *Available at the Reading Room</w:t>
            </w:r>
          </w:p>
          <w:p w14:paraId="3459A5CF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McRuer, Robert. Crip Theory: Cultural Signs of Queerness and Disability (New York University Press, 2006).</w:t>
            </w:r>
          </w:p>
          <w:p w14:paraId="6E3ACEC3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Morland, Iain. Willox, Annabelle. (eds) Readers in Cultural Criticism: Queer Theory. (Macmillan, 2005). </w:t>
            </w:r>
          </w:p>
          <w:p w14:paraId="611B0380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Parker, Robert Dale. How to Interpret Literature: Critical Theory of Literary and Cultural Studies. (Oxford: 2015)</w:t>
            </w:r>
          </w:p>
          <w:p w14:paraId="64623EA8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Pilcher, Jane. Whelehan, Imelda. 50 Key Concepts in Gender Studies. (Sage, 2004).</w:t>
            </w:r>
          </w:p>
          <w:p w14:paraId="280AA839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Rivkin, Julie. Ryan, Michael (eds). Literary Theory: An Anthology. 3rd ed. (Wiley Blackwell, 2017). </w:t>
            </w:r>
          </w:p>
          <w:p w14:paraId="3BE4497B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Sardar, Ziauddin. Van Loon, Borin. Introducing Cultural Studies: A Graphic Guide. (London: Icon Books, 2010)</w:t>
            </w:r>
          </w:p>
          <w:p w14:paraId="3FE3C50E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Sim, Stuart. Van Loon, Borin. Introducing Critical Theory: A Graphic Guide. (London: Icon, 2009).</w:t>
            </w:r>
          </w:p>
          <w:p w14:paraId="200B8DF8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Staton, Shirley F. Literary Theories in Praxis (University of Pennsylvania Press: 1987). </w:t>
            </w:r>
          </w:p>
          <w:p w14:paraId="76521B70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Tompkins, Jane P. Reader-response Criticism: from Formalism to Post-structuralism (Johns Hopkins University Press, 1994). </w:t>
            </w:r>
          </w:p>
          <w:p w14:paraId="46F3884E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Tyson, Lois. Critical Theory Today: a User-Friendly Guide. 2nd ed. (Routledge: 2006)</w:t>
            </w:r>
          </w:p>
          <w:p w14:paraId="07C0F27A" w14:textId="77777777" w:rsidR="00906B21" w:rsidRPr="00906B21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 xml:space="preserve">Wolfe, Cary. What is Posthumanism? (University of Minnesota Press: 2010). </w:t>
            </w:r>
          </w:p>
          <w:p w14:paraId="5DD7D188" w14:textId="1022F981" w:rsidR="00906B21" w:rsidRPr="00C94DCA" w:rsidRDefault="00906B21" w:rsidP="00906B2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906B21">
              <w:rPr>
                <w:rFonts w:ascii="Arial Narrow" w:hAnsi="Arial Narrow"/>
                <w:sz w:val="22"/>
                <w:szCs w:val="22"/>
                <w:lang w:val="ro-RO"/>
              </w:rPr>
              <w:t>Wolfe, Cary. Animal Rites: American Culture, the Discourse of Species and Posthumanist Theory (University of Chicago Press, 2003).</w:t>
            </w:r>
          </w:p>
        </w:tc>
      </w:tr>
      <w:tr w:rsidR="00B0090F" w:rsidRPr="00C94DCA" w14:paraId="6843B0CE" w14:textId="77777777" w:rsidTr="00906B21">
        <w:tc>
          <w:tcPr>
            <w:tcW w:w="562" w:type="dxa"/>
            <w:shd w:val="clear" w:color="auto" w:fill="A6A6A6" w:themeFill="background1" w:themeFillShade="A6"/>
          </w:tcPr>
          <w:p w14:paraId="148ADDE1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931" w:type="dxa"/>
            <w:gridSpan w:val="2"/>
            <w:shd w:val="clear" w:color="auto" w:fill="A6A6A6" w:themeFill="background1" w:themeFillShade="A6"/>
          </w:tcPr>
          <w:p w14:paraId="2E6EB5DD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F6A12B7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E2C0A8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1059D23" w14:textId="241DF21F" w:rsidR="00C839A1" w:rsidRPr="00C94DCA" w:rsidRDefault="00C839A1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Interactive Lecture</w:t>
            </w:r>
            <w:r w:rsidR="00EC6603"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</w:tc>
      </w:tr>
      <w:tr w:rsidR="00B0090F" w:rsidRPr="00C94DCA" w14:paraId="307ACB3A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35CEFDD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F6AD504" w14:textId="628C4029" w:rsidR="00C839A1" w:rsidRPr="00C94DCA" w:rsidRDefault="00EC6603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100% :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Take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-home exam ; </w:t>
            </w:r>
            <w:r w:rsidR="00C839A1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</w:p>
        </w:tc>
      </w:tr>
      <w:tr w:rsidR="00B0090F" w:rsidRPr="00C94DCA" w14:paraId="2D2D1088" w14:textId="77777777" w:rsidTr="00906B2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1D3429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50AD8DFD" w14:textId="40E433AE" w:rsidR="00B0090F" w:rsidRPr="00C94DCA" w:rsidRDefault="00C839A1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34E00148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07BA"/>
    <w:multiLevelType w:val="hybridMultilevel"/>
    <w:tmpl w:val="FE824658"/>
    <w:lvl w:ilvl="0" w:tplc="0E9CEFE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172565A"/>
    <w:multiLevelType w:val="hybridMultilevel"/>
    <w:tmpl w:val="4496A406"/>
    <w:lvl w:ilvl="0" w:tplc="86BE99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4D05"/>
    <w:rsid w:val="002741B2"/>
    <w:rsid w:val="002A1706"/>
    <w:rsid w:val="002B6A6C"/>
    <w:rsid w:val="002E69B5"/>
    <w:rsid w:val="00427C2F"/>
    <w:rsid w:val="004D0D05"/>
    <w:rsid w:val="004E14FD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06B21"/>
    <w:rsid w:val="009472FD"/>
    <w:rsid w:val="009A063F"/>
    <w:rsid w:val="009C308C"/>
    <w:rsid w:val="009E186A"/>
    <w:rsid w:val="00AE7E99"/>
    <w:rsid w:val="00B0090F"/>
    <w:rsid w:val="00BB45A4"/>
    <w:rsid w:val="00BD750F"/>
    <w:rsid w:val="00BE2C61"/>
    <w:rsid w:val="00C8093F"/>
    <w:rsid w:val="00C839A1"/>
    <w:rsid w:val="00C94DCA"/>
    <w:rsid w:val="00CA0D08"/>
    <w:rsid w:val="00DB1C6A"/>
    <w:rsid w:val="00DC554A"/>
    <w:rsid w:val="00E60298"/>
    <w:rsid w:val="00EB3322"/>
    <w:rsid w:val="00EC6603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E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1347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4</cp:revision>
  <dcterms:created xsi:type="dcterms:W3CDTF">2020-01-21T11:27:00Z</dcterms:created>
  <dcterms:modified xsi:type="dcterms:W3CDTF">2020-02-10T09:11:00Z</dcterms:modified>
</cp:coreProperties>
</file>