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0688">
        <w:rPr>
          <w:rFonts w:ascii="Times New Roman" w:hAnsi="Times New Roman" w:cs="Times New Roman"/>
          <w:b/>
          <w:sz w:val="20"/>
          <w:szCs w:val="20"/>
        </w:rPr>
        <w:t>366</w:t>
      </w:r>
      <w:bookmarkStart w:id="0" w:name="_GoBack"/>
      <w:bookmarkEnd w:id="0"/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DF229F">
        <w:rPr>
          <w:rFonts w:ascii="Times New Roman" w:hAnsi="Times New Roman" w:cs="Times New Roman"/>
          <w:b/>
          <w:sz w:val="20"/>
          <w:szCs w:val="20"/>
        </w:rPr>
        <w:t>30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387B2E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4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DF229F" w:rsidRPr="00DF229F">
        <w:rPr>
          <w:b/>
          <w:sz w:val="20"/>
          <w:highlight w:val="yellow"/>
          <w:u w:val="single"/>
          <w:lang w:val="ro-RO"/>
        </w:rPr>
        <w:t>0</w:t>
      </w:r>
      <w:r w:rsidR="00A4572C" w:rsidRPr="00DF229F">
        <w:rPr>
          <w:b/>
          <w:sz w:val="20"/>
          <w:highlight w:val="yellow"/>
          <w:u w:val="single"/>
          <w:lang w:val="ro-RO"/>
        </w:rPr>
        <w:t>1</w:t>
      </w:r>
      <w:r w:rsidR="00FB3373" w:rsidRPr="00DF229F">
        <w:rPr>
          <w:b/>
          <w:sz w:val="20"/>
          <w:highlight w:val="yellow"/>
          <w:u w:val="single"/>
          <w:lang w:val="ro-RO"/>
        </w:rPr>
        <w:t>.</w:t>
      </w:r>
      <w:r w:rsidR="00FB3373" w:rsidRPr="0021596A">
        <w:rPr>
          <w:b/>
          <w:sz w:val="20"/>
          <w:highlight w:val="yellow"/>
          <w:u w:val="single"/>
          <w:lang w:val="ro-RO"/>
        </w:rPr>
        <w:t>0</w:t>
      </w:r>
      <w:r w:rsidR="00DF229F">
        <w:rPr>
          <w:b/>
          <w:sz w:val="20"/>
          <w:highlight w:val="yellow"/>
          <w:u w:val="single"/>
          <w:lang w:val="ro-RO"/>
        </w:rPr>
        <w:t>2</w:t>
      </w:r>
      <w:r w:rsidR="00FB3373" w:rsidRPr="0021596A">
        <w:rPr>
          <w:b/>
          <w:sz w:val="20"/>
          <w:highlight w:val="yellow"/>
          <w:u w:val="single"/>
          <w:lang w:val="ro-RO"/>
        </w:rPr>
        <w:t>.2024</w:t>
      </w:r>
      <w:r w:rsidR="005B3BF7" w:rsidRPr="0021596A">
        <w:rPr>
          <w:b/>
          <w:sz w:val="20"/>
          <w:highlight w:val="yellow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 xml:space="preserve">oferta de preţ în lei, fără TVA, la numărul de fax </w:t>
      </w:r>
      <w:r w:rsidR="00D32AED" w:rsidRPr="0021596A">
        <w:rPr>
          <w:b/>
          <w:sz w:val="20"/>
          <w:lang w:val="ro-RO"/>
        </w:rPr>
        <w:t xml:space="preserve">0232/201148 sau 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5588"/>
        <w:gridCol w:w="1134"/>
        <w:gridCol w:w="1417"/>
      </w:tblGrid>
      <w:tr w:rsidR="0021596A" w:rsidRPr="002D6DED" w:rsidTr="00480509">
        <w:trPr>
          <w:trHeight w:val="255"/>
        </w:trPr>
        <w:tc>
          <w:tcPr>
            <w:tcW w:w="6516" w:type="dxa"/>
            <w:gridSpan w:val="2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LOT 1: </w:t>
            </w:r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Lactate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și</w:t>
            </w:r>
            <w:proofErr w:type="spellEnd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brânzeturi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480509">
        <w:trPr>
          <w:trHeight w:val="143"/>
        </w:trPr>
        <w:tc>
          <w:tcPr>
            <w:tcW w:w="928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588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D6DED" w:rsidRPr="002D6DED" w:rsidRDefault="002D6DED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proaspătă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semi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, min 5%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Smantana</w:t>
            </w:r>
            <w:proofErr w:type="spellEnd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20 % </w:t>
            </w: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ug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Smântână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fermentată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, min. 20%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vaci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VID</w:t>
            </w:r>
          </w:p>
          <w:p w:rsidR="00480509" w:rsidRPr="009A6564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telemea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saramură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calitatea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I, min. 40% 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din plastic cu masa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cuprinsa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>între</w:t>
            </w:r>
            <w:proofErr w:type="spellEnd"/>
            <w:r w:rsidRPr="009A6564">
              <w:rPr>
                <w:rFonts w:ascii="Times New Roman" w:hAnsi="Times New Roman" w:cs="Times New Roman"/>
                <w:sz w:val="20"/>
                <w:szCs w:val="20"/>
              </w:rPr>
              <w:t xml:space="preserve"> 8 si 15 kg.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Branza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burduf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burduf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obţinută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oaie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amestec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oaie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bivoliţă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caş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gras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vacă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grade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maturare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frământat</w:t>
            </w:r>
            <w:proofErr w:type="spellEnd"/>
            <w:proofErr w:type="gram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adaos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pastă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omogenă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goluri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corpuri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straine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moale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onctuoasă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fermentată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afara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stratului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care are o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consistenta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tare,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consistenţă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sfărmicioasă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albă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uşor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gălbuie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uniformă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toată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masa,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excepţia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stratului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apropierea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care are o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nuanţă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închisă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si gust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plăcut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caracteristic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brânză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uşor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sărată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miros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gust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străin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amar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rânced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iute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-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grăsime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raportată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substanţa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uscată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min 45%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cu un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gramaj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cuprins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între</w:t>
            </w:r>
            <w:proofErr w:type="spellEnd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 xml:space="preserve"> 300 – 500 g/</w:t>
            </w:r>
            <w:proofErr w:type="spellStart"/>
            <w:r w:rsidRPr="002A58E4">
              <w:rPr>
                <w:rFonts w:ascii="Times New Roman" w:hAnsi="Times New Roman" w:cs="Times New Roman"/>
                <w:sz w:val="20"/>
                <w:szCs w:val="20"/>
              </w:rPr>
              <w:t>bucată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aspect exterior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curat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mucegai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cute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crăpături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separare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zer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480509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65%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</w:p>
          <w:p w:rsidR="00480509" w:rsidRPr="006A071E" w:rsidRDefault="00480509" w:rsidP="004805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Unt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tip B, min. 65%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480509" w:rsidRPr="00984DFF" w:rsidRDefault="00480509" w:rsidP="0048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pachete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hârtie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pergament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metalizată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minim 200 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Cascaval baton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Rucar</w:t>
            </w:r>
            <w:proofErr w:type="spellEnd"/>
          </w:p>
          <w:p w:rsidR="00F25F70" w:rsidRPr="006A071E" w:rsidRDefault="00F25F70" w:rsidP="00F25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Cașcaval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Rucăr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baton, min. 40%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F25F70" w:rsidRPr="00984DFF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folie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termocontractibilă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cu masa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netă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max 1 kg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984DFF" w:rsidRPr="0021596A" w:rsidTr="00480509">
        <w:trPr>
          <w:trHeight w:val="255"/>
        </w:trPr>
        <w:tc>
          <w:tcPr>
            <w:tcW w:w="928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Lapte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UHT 3,5%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prevazut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capac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filetat</w:t>
            </w:r>
            <w:proofErr w:type="spellEnd"/>
          </w:p>
          <w:p w:rsidR="00F25F70" w:rsidRPr="006A071E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- 3.5 % </w:t>
            </w:r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Gr/Su.</w:t>
            </w:r>
          </w:p>
          <w:p w:rsidR="00F25F70" w:rsidRPr="00984DFF" w:rsidRDefault="00F25F70" w:rsidP="00F25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condiţii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aspetice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ambalaje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sterile Tetra Pak cu </w:t>
            </w:r>
            <w:proofErr w:type="spellStart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>volumul</w:t>
            </w:r>
            <w:proofErr w:type="spellEnd"/>
            <w:r w:rsidRPr="006A071E">
              <w:rPr>
                <w:rFonts w:ascii="Times New Roman" w:hAnsi="Times New Roman" w:cs="Times New Roman"/>
                <w:sz w:val="20"/>
                <w:szCs w:val="20"/>
              </w:rPr>
              <w:t xml:space="preserve"> de 1 L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prevăzut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un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sistem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deschidere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închidere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 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ambalajului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>capac</w:t>
            </w:r>
            <w:proofErr w:type="spellEnd"/>
            <w:r w:rsidRPr="006A0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 filet).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</w:tbl>
    <w:p w:rsidR="005A0F5E" w:rsidRPr="00F25F70" w:rsidRDefault="00984DFF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br w:type="textWrapping" w:clear="all"/>
      </w:r>
      <w:r w:rsidR="005A0F5E" w:rsidRPr="00F25F70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*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Cantitatea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solicitată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estimat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a fi </w:t>
      </w:r>
      <w:proofErr w:type="spellStart"/>
      <w:r w:rsidR="005A0F5E" w:rsidRPr="00F25F70">
        <w:rPr>
          <w:rFonts w:ascii="Times New Roman" w:hAnsi="Times New Roman" w:cs="Times New Roman"/>
          <w:b/>
          <w:sz w:val="20"/>
          <w:szCs w:val="20"/>
        </w:rPr>
        <w:t>consumată</w:t>
      </w:r>
      <w:proofErr w:type="spellEnd"/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0F5E" w:rsidRPr="00F25F70">
        <w:rPr>
          <w:rFonts w:ascii="Times New Roman" w:hAnsi="Times New Roman" w:cs="Times New Roman"/>
          <w:b/>
          <w:sz w:val="20"/>
          <w:szCs w:val="20"/>
          <w:lang w:val="ro-RO"/>
        </w:rPr>
        <w:t>în cca. 6 săptămâni</w:t>
      </w:r>
      <w:r w:rsidR="005A0F5E" w:rsidRPr="00F25F7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506CA2" w:rsidRPr="0021596A" w:rsidRDefault="00506CA2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1559"/>
      </w:tblGrid>
      <w:tr w:rsidR="002D6DED" w:rsidRPr="002D6DED" w:rsidTr="0071339F">
        <w:trPr>
          <w:trHeight w:val="255"/>
        </w:trPr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D6DED" w:rsidP="00D8680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LOT 2 :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Iaurt</w:t>
            </w:r>
            <w:proofErr w:type="spellEnd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BIO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984DFF">
        <w:trPr>
          <w:trHeight w:val="222"/>
        </w:trPr>
        <w:tc>
          <w:tcPr>
            <w:tcW w:w="70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3,8% ug-140g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piersici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caise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cireșe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căpșuni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fructe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pădure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2.7%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-130g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cu granola si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seminte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mix 165 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cu granola si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zmeura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165 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4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</w:t>
            </w:r>
          </w:p>
        </w:tc>
      </w:tr>
    </w:tbl>
    <w:p w:rsidR="005A0F5E" w:rsidRPr="00F25F70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F25F70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*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Cantitatea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solicitată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25F70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estimat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a fi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consumată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2792" w:rsidRPr="00F25F70">
        <w:rPr>
          <w:rFonts w:ascii="Times New Roman" w:hAnsi="Times New Roman" w:cs="Times New Roman"/>
          <w:b/>
          <w:sz w:val="20"/>
          <w:szCs w:val="20"/>
          <w:lang w:val="ro-RO"/>
        </w:rPr>
        <w:t>până la 31.12.2024</w:t>
      </w:r>
      <w:r w:rsidRPr="00F25F7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B25E41" w:rsidRPr="0021596A" w:rsidRDefault="00B25E41" w:rsidP="0021596A">
      <w:pPr>
        <w:tabs>
          <w:tab w:val="left" w:pos="343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 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700A6" w:rsidRPr="0021596A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Titu Maiorescu, CSI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și Casa Universitarilor Iasi (CUI RO14104370),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31.12.2024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Se vor întocmi facturi pentru fiecare 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>locație în parte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7BCD" w:rsidRPr="0021596A" w:rsidRDefault="00A27BCD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Pr="0021596A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”raport calitate - preț”./lot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Modalitatea</w:t>
      </w:r>
      <w:proofErr w:type="spellEnd"/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cea</w:t>
      </w:r>
      <w:proofErr w:type="spellEnd"/>
      <w:r w:rsidRPr="0021596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avantajoasă</w:t>
      </w:r>
      <w:proofErr w:type="spellEnd"/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ofertă</w:t>
      </w:r>
      <w:proofErr w:type="spellEnd"/>
      <w:r w:rsidRPr="0021596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criteriile</w:t>
      </w:r>
      <w:proofErr w:type="spellEnd"/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următoare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21596A" w:rsidRPr="0021596A" w:rsidTr="0071339F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factor de</w:t>
            </w:r>
            <w:r w:rsidRPr="0021596A">
              <w:rPr>
                <w:rFonts w:ascii="Times New Roman" w:hAnsi="Times New Roman" w:cs="Times New Roman"/>
                <w:spacing w:val="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Factori</w:t>
            </w:r>
            <w:r w:rsidRPr="0021596A"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</w:t>
            </w:r>
            <w:r w:rsidRPr="0021596A">
              <w:rPr>
                <w:rFonts w:ascii="Times New Roman" w:hAnsi="Times New Roman" w:cs="Times New Roman"/>
                <w:spacing w:val="4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 acordat</w:t>
            </w:r>
          </w:p>
        </w:tc>
      </w:tr>
      <w:tr w:rsidR="0021596A" w:rsidRPr="0021596A" w:rsidTr="0071339F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Oferta</w:t>
            </w:r>
            <w:r w:rsidRPr="0021596A">
              <w:rPr>
                <w:rFonts w:ascii="Times New Roman" w:hAnsi="Times New Roman" w:cs="Times New Roman"/>
                <w:spacing w:val="3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Lantul de aprovizionare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30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Distanța cea mai scurtă de la locul producției la locul de livrare (consum)..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>30 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 puncte</w:t>
            </w:r>
          </w:p>
        </w:tc>
      </w:tr>
    </w:tbl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Componenta financiară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1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Oferta</w:t>
      </w:r>
      <w:r w:rsidRPr="0021596A">
        <w:rPr>
          <w:rFonts w:ascii="Times New Roman" w:hAnsi="Times New Roman" w:cs="Times New Roman"/>
          <w:b/>
          <w:bCs/>
          <w:i/>
          <w:iCs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financiară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Punctajul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spacing w:val="1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2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spacing w:val="3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financiară,</w:t>
      </w:r>
      <w:r w:rsidRPr="0021596A">
        <w:rPr>
          <w:rFonts w:ascii="Times New Roman" w:hAnsi="Times New Roman" w:cs="Times New Roman"/>
          <w:spacing w:val="2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valoare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maximă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="00706C5E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40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</w:t>
      </w:r>
      <w:r w:rsidRPr="0021596A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şi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-54"/>
          <w:sz w:val="20"/>
          <w:szCs w:val="20"/>
          <w:lang w:val="ro-RO"/>
        </w:rPr>
        <w:t xml:space="preserve">         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pondere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maxim 40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%,</w:t>
      </w:r>
      <w:r w:rsidRPr="0021596A">
        <w:rPr>
          <w:rFonts w:ascii="Times New Roman" w:hAnsi="Times New Roman" w:cs="Times New Roman"/>
          <w:spacing w:val="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acorda</w:t>
      </w:r>
      <w:r w:rsidRPr="0021596A">
        <w:rPr>
          <w:rFonts w:ascii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după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urmează: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 depusӑ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preţul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cel</w:t>
      </w:r>
      <w:r w:rsidRPr="0021596A">
        <w:rPr>
          <w:rFonts w:ascii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mai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scăzut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dintre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preţurile</w:t>
      </w:r>
      <w:r w:rsidRPr="0021596A">
        <w:rPr>
          <w:rFonts w:ascii="Times New Roman" w:hAnsi="Times New Roman" w:cs="Times New Roman"/>
          <w:spacing w:val="1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acordă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40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 puncte;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restul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 depuse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punctele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vor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calcula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utilizând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următoarea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formulă:</w:t>
      </w:r>
    </w:p>
    <w:p w:rsidR="0021596A" w:rsidRPr="0021596A" w:rsidRDefault="0021596A" w:rsidP="0021596A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21596A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financiară</w:t>
      </w:r>
      <w:r w:rsidRPr="0021596A">
        <w:rPr>
          <w:rFonts w:ascii="Times New Roman" w:hAnsi="Times New Roman" w:cs="Times New Roman"/>
          <w:i/>
          <w:iCs/>
          <w:spacing w:val="-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„n”)</w:t>
      </w: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=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minim ofertat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× 40</w:t>
      </w:r>
      <w:r w:rsidRPr="0021596A">
        <w:rPr>
          <w:rFonts w:ascii="Times New Roman" w:hAnsi="Times New Roman" w:cs="Times New Roman"/>
          <w:spacing w:val="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/preţul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ofertei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„n”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Componenta tehnică privind calitatea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2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Lantul de aprovizionare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3</w:t>
      </w:r>
      <w:r w:rsidRPr="0021596A">
        <w:rPr>
          <w:rFonts w:ascii="Times New Roman" w:hAnsi="Times New Roman" w:cs="Times New Roman"/>
          <w:sz w:val="20"/>
          <w:szCs w:val="20"/>
        </w:rPr>
        <w:t>0</w:t>
      </w:r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 xml:space="preserve">o </w:t>
      </w:r>
      <w:r w:rsidRPr="0021596A">
        <w:rPr>
          <w:rFonts w:ascii="Times New Roman" w:hAnsi="Times New Roman" w:cs="Times New Roman"/>
          <w:spacing w:val="-54"/>
          <w:sz w:val="20"/>
          <w:szCs w:val="20"/>
        </w:rPr>
        <w:t xml:space="preserve">           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pondere</w:t>
      </w:r>
      <w:proofErr w:type="spellEnd"/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maxim </w:t>
      </w:r>
      <w:r w:rsidRPr="0021596A">
        <w:rPr>
          <w:rFonts w:ascii="Times New Roman" w:hAnsi="Times New Roman" w:cs="Times New Roman"/>
          <w:sz w:val="20"/>
          <w:szCs w:val="20"/>
        </w:rPr>
        <w:t>30%,</w:t>
      </w:r>
      <w:r w:rsidRPr="0021596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acorda</w:t>
      </w:r>
      <w:proofErr w:type="spellEnd"/>
      <w:r w:rsidRPr="0021596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urmează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directe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producătorul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original la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final - 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30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cu un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singur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operator economic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implicat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intermediar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) -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15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mulți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implicați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-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trebuie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directa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implicarea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singur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operator economic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lanțul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aprovizionare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fiecărui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iar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final se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calcula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prin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media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aritmetica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obtinute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parte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A6198F" w:rsidRDefault="00A6198F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3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Distanța cea mai scurtă de la locul producției (cel puțin o etapă a producției) la locul de livrare (consum).</w:t>
      </w:r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maxim 150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30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cuprinsa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151 km si 300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15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mai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mare de 301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distanțelor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prevăzute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algoritmul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punctare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comisia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evaluare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utiliza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calculatorul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distantelor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folosit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Comisia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Europeana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mobilitatile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tip ERASMUS+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tuturor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operatorilor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evita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diferențe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distanțe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generată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utilizarea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programe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navigație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diferite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calculator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regaseste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 link-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21596A">
          <w:rPr>
            <w:rStyle w:val="Hyperlink"/>
            <w:rFonts w:ascii="Times New Roman" w:hAnsi="Times New Roman" w:cs="Times New Roman"/>
            <w:sz w:val="20"/>
            <w:szCs w:val="20"/>
          </w:rPr>
          <w:t>https://erasmus-plus.ec.europa.eu/ro/resources-and-tools/distance-calculator</w:t>
        </w:r>
      </w:hyperlink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locația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(cel puțin o etapă a producției)</w:t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fiecărui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iar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final se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calcula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prin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media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aritmetica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obtinute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parte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Default="0021596A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denumirea comercială,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marca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și/sau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Director Serviciu 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456A64">
      <w:headerReference w:type="default" r:id="rId9"/>
      <w:footerReference w:type="default" r:id="rId10"/>
      <w:headerReference w:type="first" r:id="rId11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45" w:rsidRDefault="000E6845">
      <w:pPr>
        <w:spacing w:after="0" w:line="240" w:lineRule="auto"/>
      </w:pPr>
      <w:r>
        <w:separator/>
      </w:r>
    </w:p>
  </w:endnote>
  <w:endnote w:type="continuationSeparator" w:id="0">
    <w:p w:rsidR="000E6845" w:rsidRDefault="000E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45" w:rsidRDefault="000E6845">
      <w:pPr>
        <w:spacing w:after="0" w:line="240" w:lineRule="auto"/>
      </w:pPr>
      <w:r>
        <w:separator/>
      </w:r>
    </w:p>
  </w:footnote>
  <w:footnote w:type="continuationSeparator" w:id="0">
    <w:p w:rsidR="000E6845" w:rsidRDefault="000E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456A64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247DA8" wp14:editId="38F57FAE">
          <wp:extent cx="6645275" cy="1207135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E6845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0688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0509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84DFF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86808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229F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5F70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C5B93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o/resources-and-tools/distance-calculat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215B-ADAD-4553-ABB7-15FD0238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8</cp:revision>
  <cp:lastPrinted>2023-02-14T05:28:00Z</cp:lastPrinted>
  <dcterms:created xsi:type="dcterms:W3CDTF">2024-01-30T08:17:00Z</dcterms:created>
  <dcterms:modified xsi:type="dcterms:W3CDTF">2024-01-30T08:53:00Z</dcterms:modified>
</cp:coreProperties>
</file>