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6.9291338582677" w:right="-177.9921259842507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3 la Regulamentul privind acordarea burselor în UAIC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Grila criteriilor de performanță în vederea analizei dosarului pentru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BURSA DE PERFORMANȚĂ: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performanțe științifice, inovații, brevete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Această grilă, după procesul de evaluare a documentelor depuse la dosar, face parte integrantă din dosarul de bursă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3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0"/>
        <w:gridCol w:w="1770"/>
        <w:gridCol w:w="1335"/>
        <w:gridCol w:w="1875"/>
        <w:tblGridChange w:id="0">
          <w:tblGrid>
            <w:gridCol w:w="4350"/>
            <w:gridCol w:w="1770"/>
            <w:gridCol w:w="1335"/>
            <w:gridCol w:w="18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  <w:rtl w:val="0"/>
              </w:rPr>
              <w:t xml:space="preserve">NUME ȘI PRENUME STUDENT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Anul de studii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Facultatea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Specializarea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  <w:rtl w:val="0"/>
              </w:rPr>
              <w:t xml:space="preserve">POPESCU IONEL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II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Drept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ptos" w:cs="Aptos" w:eastAsia="Aptos" w:hAnsi="Apto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Drept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0"/>
        <w:gridCol w:w="2295"/>
        <w:gridCol w:w="1170"/>
        <w:gridCol w:w="1770"/>
        <w:tblGridChange w:id="0">
          <w:tblGrid>
            <w:gridCol w:w="4020"/>
            <w:gridCol w:w="2295"/>
            <w:gridCol w:w="1170"/>
            <w:gridCol w:w="17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Categorii punctate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right="-2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acordat</w:t>
            </w:r>
          </w:p>
        </w:tc>
        <w:tc>
          <w:tcPr>
            <w:gridSpan w:val="2"/>
            <w:tcBorders>
              <w:bottom w:color="7f7f7f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realizat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Sesiuni științifice/academice internaționale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de excelenţă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ptos" w:cs="Aptos" w:eastAsia="Aptos" w:hAnsi="Aptos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= valoare numerică</w:t>
            </w:r>
            <w:r w:rsidDel="00000000" w:rsidR="00000000" w:rsidRPr="00000000">
              <w:rPr>
                <w:rFonts w:ascii="Aptos" w:cs="Aptos" w:eastAsia="Aptos" w:hAnsi="Aptos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ptos" w:cs="Aptos" w:eastAsia="Aptos" w:hAnsi="Aptos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= valoare număr x punctaj acordat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I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Menţiune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Sesiuni științifice/acaademice naționale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de excelenţă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I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Menţiune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Sesiuni științifice organizate de UAIC/Facultate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de excelenţă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I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Menţiune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Publicare cărți de specialitate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 unic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Coautor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200/nr. autori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Publicare articole științifice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3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Articol în publicații de specialitate internaționale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7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 unic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firstLine="74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Coautor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100/nr. autori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firstLine="32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Articol în publicaţii de specialitate naționale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firstLine="74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 unic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firstLine="74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Coautor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80/nr. autori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Brevete inregistrate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Internaţionale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Naţionale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firstLine="2551.1811023622045"/>
              <w:rPr>
                <w:rFonts w:ascii="Times New Roman" w:cs="Times New Roman" w:eastAsia="Times New Roman" w:hAnsi="Times New Roman"/>
                <w:b w:val="1"/>
                <w:shd w:fill="a6a6a6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PUNCTAJ TOTAL REALIZAT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=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a6a6a6" w:val="clear"/>
                <w:rtl w:val="0"/>
              </w:rPr>
              <w:t xml:space="preserve">suma punctajelor</w:t>
            </w:r>
          </w:p>
        </w:tc>
      </w:tr>
    </w:tbl>
    <w:p w:rsidR="00000000" w:rsidDel="00000000" w:rsidP="00000000" w:rsidRDefault="00000000" w:rsidRPr="00000000" w14:paraId="00000092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890.07874015748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