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91A63E" w14:textId="77777777" w:rsidR="008429D0" w:rsidRDefault="004C76ED">
      <w:pPr>
        <w:spacing w:line="240" w:lineRule="auto"/>
        <w:jc w:val="both"/>
        <w:rPr>
          <w:color w:val="0D0D0D"/>
          <w:sz w:val="20"/>
          <w:szCs w:val="20"/>
        </w:rPr>
      </w:pPr>
      <w:r>
        <w:rPr>
          <w:rFonts w:ascii="Tahoma" w:eastAsia="Tahoma" w:hAnsi="Tahoma" w:cs="Tahoma"/>
          <w:noProof/>
          <w:color w:val="002060"/>
          <w:sz w:val="20"/>
          <w:szCs w:val="20"/>
        </w:rPr>
        <w:drawing>
          <wp:inline distT="0" distB="0" distL="0" distR="0" wp14:anchorId="36B4F052" wp14:editId="56744517">
            <wp:extent cx="5731200" cy="685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31200" cy="685800"/>
                    </a:xfrm>
                    <a:prstGeom prst="rect">
                      <a:avLst/>
                    </a:prstGeom>
                    <a:ln/>
                  </pic:spPr>
                </pic:pic>
              </a:graphicData>
            </a:graphic>
          </wp:inline>
        </w:drawing>
      </w:r>
    </w:p>
    <w:p w14:paraId="46A364CD" w14:textId="77777777" w:rsidR="008429D0" w:rsidRDefault="008429D0">
      <w:pPr>
        <w:shd w:val="clear" w:color="auto" w:fill="FFFFFF"/>
        <w:spacing w:before="200" w:after="200"/>
        <w:rPr>
          <w:color w:val="0D0D0D"/>
          <w:sz w:val="20"/>
          <w:szCs w:val="20"/>
        </w:rPr>
      </w:pPr>
    </w:p>
    <w:p w14:paraId="055EE2DE" w14:textId="77777777" w:rsidR="008429D0" w:rsidRDefault="008429D0">
      <w:pPr>
        <w:shd w:val="clear" w:color="auto" w:fill="FFFFFF"/>
        <w:spacing w:before="200" w:after="200"/>
        <w:rPr>
          <w:color w:val="0D0D0D"/>
          <w:sz w:val="20"/>
          <w:szCs w:val="20"/>
        </w:rPr>
      </w:pPr>
    </w:p>
    <w:p w14:paraId="243222AF" w14:textId="77777777" w:rsidR="008429D0" w:rsidRDefault="004C76ED">
      <w:pPr>
        <w:shd w:val="clear" w:color="auto" w:fill="FFFFFF"/>
        <w:spacing w:before="200" w:after="200"/>
        <w:jc w:val="center"/>
        <w:rPr>
          <w:color w:val="0D0D0D"/>
          <w:sz w:val="20"/>
          <w:szCs w:val="20"/>
        </w:rPr>
      </w:pPr>
      <w:r>
        <w:rPr>
          <w:color w:val="0D0D0D"/>
          <w:sz w:val="20"/>
          <w:szCs w:val="20"/>
        </w:rPr>
        <w:t>COMUNICAT DE PRESĂ</w:t>
      </w:r>
    </w:p>
    <w:p w14:paraId="32696AB8" w14:textId="77777777" w:rsidR="008429D0" w:rsidRDefault="004C76ED">
      <w:pPr>
        <w:shd w:val="clear" w:color="auto" w:fill="FFFFFF"/>
        <w:spacing w:before="200" w:after="200"/>
        <w:jc w:val="center"/>
        <w:rPr>
          <w:color w:val="0D0D0D"/>
          <w:sz w:val="20"/>
          <w:szCs w:val="20"/>
        </w:rPr>
      </w:pPr>
      <w:r>
        <w:rPr>
          <w:color w:val="0D0D0D"/>
          <w:sz w:val="20"/>
          <w:szCs w:val="20"/>
        </w:rPr>
        <w:t xml:space="preserve">Universitatea ”ALEXANDRU IOAN CUZA” din Iași anunță lansarea și implementarea proiectului </w:t>
      </w:r>
    </w:p>
    <w:p w14:paraId="112FD1D7" w14:textId="77777777" w:rsidR="008429D0" w:rsidRDefault="004C76ED">
      <w:pPr>
        <w:shd w:val="clear" w:color="auto" w:fill="FFFFFF"/>
        <w:spacing w:before="200" w:after="200"/>
        <w:jc w:val="center"/>
        <w:rPr>
          <w:color w:val="0D0D0D"/>
          <w:sz w:val="20"/>
          <w:szCs w:val="20"/>
        </w:rPr>
      </w:pPr>
      <w:r>
        <w:rPr>
          <w:rFonts w:ascii="Calibri" w:eastAsia="Calibri" w:hAnsi="Calibri" w:cs="Calibri"/>
          <w:sz w:val="24"/>
          <w:szCs w:val="24"/>
        </w:rPr>
        <w:t>„Management Educațional Eficient și Profesionist – MEDEP”</w:t>
      </w:r>
    </w:p>
    <w:p w14:paraId="7291D309" w14:textId="77777777" w:rsidR="008429D0" w:rsidRDefault="008429D0">
      <w:pPr>
        <w:shd w:val="clear" w:color="auto" w:fill="FFFFFF"/>
        <w:spacing w:before="200" w:after="200"/>
        <w:rPr>
          <w:color w:val="0D0D0D"/>
          <w:sz w:val="20"/>
          <w:szCs w:val="20"/>
        </w:rPr>
      </w:pPr>
    </w:p>
    <w:p w14:paraId="5F59E75F" w14:textId="77777777" w:rsidR="008429D0" w:rsidRDefault="004C76ED">
      <w:pPr>
        <w:shd w:val="clear" w:color="auto" w:fill="FFFFFF"/>
        <w:spacing w:line="360" w:lineRule="auto"/>
        <w:ind w:right="566" w:firstLine="720"/>
        <w:jc w:val="both"/>
        <w:rPr>
          <w:b/>
        </w:rPr>
      </w:pPr>
      <w:r>
        <w:t xml:space="preserve">Universitatea „Alexandru Ioan Cuza” din Iași (UAIC), în parteneriat cu Universitatea „Ștefan cel Mare” din Suceava și Centrul Step by Step pentru Educație și Dezvoltare Profesională București începe să implementeze proiectul </w:t>
      </w:r>
      <w:r>
        <w:rPr>
          <w:b/>
        </w:rPr>
        <w:t>”Management Educațional Eficient și Profesionist – MEDEP”.</w:t>
      </w:r>
    </w:p>
    <w:p w14:paraId="170DFEF5" w14:textId="72EA5BEB" w:rsidR="008429D0" w:rsidRDefault="004C76ED">
      <w:pPr>
        <w:shd w:val="clear" w:color="auto" w:fill="FFFFFF"/>
        <w:spacing w:line="360" w:lineRule="auto"/>
        <w:ind w:right="566" w:firstLine="720"/>
        <w:jc w:val="both"/>
      </w:pPr>
      <w:r>
        <w:t xml:space="preserve">Proiectul, cu un buget total de 8.482.638 lei,  face parte din programul PNRR (Planul Național de Redresare și reziliență), Pilonul IV ”Politici pentru noua generație”, Componenta C15 ”Educație”, Reforma 7 ”Reforma guvernanței sistemului de învățământ preuniversitar și profesionalizarea managementului”, Investiția 18 ”Programul de formare și îndrumare pentru managerii și inspectorii școlari”, Cod proiect ID_10 și se desfășoară timp de 17 luni, în perioada </w:t>
      </w:r>
      <w:r w:rsidR="0087761C">
        <w:t>0</w:t>
      </w:r>
      <w:bookmarkStart w:id="0" w:name="_GoBack"/>
      <w:bookmarkEnd w:id="0"/>
      <w:r w:rsidR="0087761C">
        <w:t>2</w:t>
      </w:r>
      <w:r>
        <w:t xml:space="preserve">.04.2025 </w:t>
      </w:r>
      <w:r w:rsidR="008A20DD">
        <w:t>–</w:t>
      </w:r>
      <w:r>
        <w:t xml:space="preserve"> </w:t>
      </w:r>
      <w:r w:rsidR="008A20DD">
        <w:t>31.0</w:t>
      </w:r>
      <w:r w:rsidR="00A31030">
        <w:t>3</w:t>
      </w:r>
      <w:r>
        <w:t>.202</w:t>
      </w:r>
      <w:r w:rsidR="00A31030">
        <w:t>6</w:t>
      </w:r>
      <w:r>
        <w:t>.</w:t>
      </w:r>
    </w:p>
    <w:p w14:paraId="0EFAAF82" w14:textId="02AC94D9" w:rsidR="008429D0" w:rsidRDefault="004C76ED">
      <w:pPr>
        <w:shd w:val="clear" w:color="auto" w:fill="FFFFFF"/>
        <w:spacing w:line="360" w:lineRule="auto"/>
        <w:ind w:right="566" w:firstLine="720"/>
        <w:jc w:val="both"/>
      </w:pPr>
      <w:r>
        <w:t>În cadrul proiectului vor fi realizate și implementate două programe de formare profesională acreditate în varianta blended learning, care urmăresc dezvoltarea de competențe manageriale, de mentorat și coaching necesare administrării sistemului de educație într-un mediu descentralizat</w:t>
      </w:r>
      <w:r>
        <w:rPr>
          <w:i/>
        </w:rPr>
        <w:t xml:space="preserve">, </w:t>
      </w:r>
      <w:r>
        <w:t>în vederea profesionalizării managementului școlar. Echipa care coordonează și contribuie la crearea și implementarea celor două programe este formată din experți în managementul educațional din învățământul universitar ieșean</w:t>
      </w:r>
      <w:r w:rsidR="008B57DC">
        <w:t>, bucureștean</w:t>
      </w:r>
      <w:r>
        <w:t xml:space="preserve"> și sucevean, din consultanți și mentori cu experiență în managementul educațional și din practicieni cu expertiză recunoscută din mediul preuniversitar.</w:t>
      </w:r>
    </w:p>
    <w:p w14:paraId="422BD209" w14:textId="77777777" w:rsidR="008429D0" w:rsidRDefault="004C76ED">
      <w:pPr>
        <w:shd w:val="clear" w:color="auto" w:fill="FFFFFF"/>
        <w:spacing w:line="360" w:lineRule="auto"/>
        <w:ind w:right="566" w:firstLine="720"/>
        <w:jc w:val="both"/>
      </w:pPr>
      <w:r>
        <w:t>Proiectul se adresează unui grup țintă format din 1000 de directori de școli, directori adjuncți, și alte categorii de personal cu funcții de management instituțional,</w:t>
      </w:r>
      <w:r>
        <w:rPr>
          <w:i/>
        </w:rPr>
        <w:t xml:space="preserve"> </w:t>
      </w:r>
      <w:r>
        <w:t>precum și unui număr de 100</w:t>
      </w:r>
      <w:r>
        <w:rPr>
          <w:b/>
        </w:rPr>
        <w:t xml:space="preserve"> </w:t>
      </w:r>
      <w:r>
        <w:t>de inspectori cu funcții de conducere și management, directori CCD, directori CJRAE, palate și cluburi ale copiilor/cluburi sportive aflate în subordinea ME.</w:t>
      </w:r>
    </w:p>
    <w:p w14:paraId="26258BDF" w14:textId="77777777" w:rsidR="008429D0" w:rsidRDefault="004C76ED">
      <w:pPr>
        <w:shd w:val="clear" w:color="auto" w:fill="FFFFFF"/>
        <w:spacing w:line="360" w:lineRule="auto"/>
        <w:ind w:right="566" w:firstLine="720"/>
        <w:jc w:val="both"/>
      </w:pPr>
      <w:r>
        <w:lastRenderedPageBreak/>
        <w:t xml:space="preserve">Oferind beneficiarilor un ansamblu de experiențe de învățare provocatoare, transformative, capabile să genereze îmbunătățirea performanței instituțiilor de învățământ, Universitatea ”Alexandru Ioan Cuza” din Iași își reafirmă, prin derularea acestui proiect, angajarea activă și susținută în sprijinirea implementării reformei guvernanței sistemului de educație din România, în conformitate cu Legea Învățământului preuniversitar nr 198/2023, cu proiectul ”România Educată” și cu recomandările OCDE din raportul privind ”Reforma învățământului preuniversitar în România: Consolidarea sistemelor de conducere, de evaluare și de sprijin” </w:t>
      </w:r>
    </w:p>
    <w:p w14:paraId="0973B35F" w14:textId="77777777" w:rsidR="008429D0" w:rsidRDefault="008429D0"/>
    <w:sectPr w:rsidR="008429D0">
      <w:footerReference w:type="default" r:id="rId7"/>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1FFAED" w14:textId="77777777" w:rsidR="008474FF" w:rsidRDefault="008474FF">
      <w:pPr>
        <w:spacing w:line="240" w:lineRule="auto"/>
      </w:pPr>
      <w:r>
        <w:separator/>
      </w:r>
    </w:p>
  </w:endnote>
  <w:endnote w:type="continuationSeparator" w:id="0">
    <w:p w14:paraId="5909C72A" w14:textId="77777777" w:rsidR="008474FF" w:rsidRDefault="008474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A7F8EC5-5E49-40EF-B94C-E403F0B18348}"/>
  </w:font>
  <w:font w:name="Calibri">
    <w:panose1 w:val="020F0502020204030204"/>
    <w:charset w:val="00"/>
    <w:family w:val="swiss"/>
    <w:pitch w:val="variable"/>
    <w:sig w:usb0="E4002EFF" w:usb1="C200247B" w:usb2="00000009" w:usb3="00000000" w:csb0="000001FF" w:csb1="00000000"/>
    <w:embedRegular r:id="rId2" w:fontKey="{7DED4232-B18C-4D57-8C93-7C28FB4D797B}"/>
  </w:font>
  <w:font w:name="Trebuchet MS">
    <w:panose1 w:val="020B0603020202020204"/>
    <w:charset w:val="00"/>
    <w:family w:val="swiss"/>
    <w:pitch w:val="variable"/>
    <w:sig w:usb0="00000687" w:usb1="00000000" w:usb2="00000000" w:usb3="00000000" w:csb0="0000009F" w:csb1="00000000"/>
    <w:embedRegular r:id="rId3" w:fontKey="{CBF6D460-B8C6-4AF4-9CB6-041558AF62BA}"/>
  </w:font>
  <w:font w:name="Cambria">
    <w:panose1 w:val="02040503050406030204"/>
    <w:charset w:val="00"/>
    <w:family w:val="roman"/>
    <w:pitch w:val="variable"/>
    <w:sig w:usb0="E00006FF" w:usb1="420024FF" w:usb2="02000000" w:usb3="00000000" w:csb0="0000019F" w:csb1="00000000"/>
    <w:embedRegular r:id="rId4" w:fontKey="{E68B0DE1-D96B-4EA7-8A02-4190C4ADFA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9F7AE" w14:textId="77777777" w:rsidR="008429D0" w:rsidRDefault="004C76ED">
    <w:pPr>
      <w:spacing w:line="240" w:lineRule="auto"/>
      <w:ind w:left="720" w:right="18"/>
      <w:jc w:val="center"/>
      <w:rPr>
        <w:rFonts w:ascii="Trebuchet MS" w:eastAsia="Trebuchet MS" w:hAnsi="Trebuchet MS" w:cs="Trebuchet MS"/>
        <w:color w:val="003399"/>
        <w:sz w:val="16"/>
        <w:szCs w:val="16"/>
      </w:rPr>
    </w:pPr>
    <w:r>
      <w:rPr>
        <w:color w:val="003399"/>
        <w:sz w:val="16"/>
        <w:szCs w:val="16"/>
      </w:rPr>
      <w:t xml:space="preserve">Management </w:t>
    </w:r>
    <w:proofErr w:type="spellStart"/>
    <w:r>
      <w:rPr>
        <w:color w:val="003399"/>
        <w:sz w:val="16"/>
        <w:szCs w:val="16"/>
      </w:rPr>
      <w:t>EDucațional</w:t>
    </w:r>
    <w:proofErr w:type="spellEnd"/>
    <w:r>
      <w:rPr>
        <w:color w:val="003399"/>
        <w:sz w:val="16"/>
        <w:szCs w:val="16"/>
      </w:rPr>
      <w:t xml:space="preserve"> Eficient și Profesionist – </w:t>
    </w:r>
    <w:proofErr w:type="spellStart"/>
    <w:r>
      <w:rPr>
        <w:color w:val="003399"/>
        <w:sz w:val="16"/>
        <w:szCs w:val="16"/>
      </w:rPr>
      <w:t>MedEP</w:t>
    </w:r>
    <w:proofErr w:type="spellEnd"/>
  </w:p>
  <w:p w14:paraId="474FAD25" w14:textId="77777777" w:rsidR="008429D0" w:rsidRDefault="004C76ED">
    <w:pPr>
      <w:tabs>
        <w:tab w:val="center" w:pos="4513"/>
        <w:tab w:val="right" w:pos="9026"/>
      </w:tabs>
      <w:spacing w:line="240" w:lineRule="auto"/>
      <w:jc w:val="center"/>
    </w:pPr>
    <w:r>
      <w:rPr>
        <w:rFonts w:ascii="Trebuchet MS" w:eastAsia="Trebuchet MS" w:hAnsi="Trebuchet MS" w:cs="Trebuchet MS"/>
        <w:color w:val="003399"/>
        <w:sz w:val="16"/>
        <w:szCs w:val="16"/>
      </w:rPr>
      <w:t>„Conținutul acestui material nu reprezintă în mod obligatoriu poziția oficială a Uniunii Europene sau a Guvernului României“.</w:t>
    </w:r>
    <w:r>
      <w:rPr>
        <w:rFonts w:ascii="Trebuchet MS" w:eastAsia="Trebuchet MS" w:hAnsi="Trebuchet MS" w:cs="Trebuchet MS"/>
        <w:color w:val="003399"/>
        <w:sz w:val="16"/>
        <w:szCs w:val="16"/>
      </w:rPr>
      <w:br/>
    </w:r>
    <w:r>
      <w:rPr>
        <w:rFonts w:ascii="Trebuchet MS" w:eastAsia="Trebuchet MS" w:hAnsi="Trebuchet MS" w:cs="Trebuchet MS"/>
        <w:color w:val="003399"/>
        <w:sz w:val="16"/>
        <w:szCs w:val="16"/>
      </w:rPr>
      <w:br/>
      <w:t xml:space="preserve">„PNRR. Finanțat de Uniunea Europeană - </w:t>
    </w:r>
    <w:proofErr w:type="spellStart"/>
    <w:r>
      <w:rPr>
        <w:rFonts w:ascii="Trebuchet MS" w:eastAsia="Trebuchet MS" w:hAnsi="Trebuchet MS" w:cs="Trebuchet MS"/>
        <w:color w:val="003399"/>
        <w:sz w:val="16"/>
        <w:szCs w:val="16"/>
      </w:rPr>
      <w:t>UrmătoareaGenerațieUE</w:t>
    </w:r>
    <w:proofErr w:type="spellEnd"/>
    <w:r>
      <w:rPr>
        <w:rFonts w:ascii="Trebuchet MS" w:eastAsia="Trebuchet MS" w:hAnsi="Trebuchet MS" w:cs="Trebuchet MS"/>
        <w:color w:val="003399"/>
        <w:sz w:val="16"/>
        <w:szCs w:val="16"/>
      </w:rPr>
      <w:t>“</w:t>
    </w:r>
    <w:r>
      <w:rPr>
        <w:rFonts w:ascii="Trebuchet MS" w:eastAsia="Trebuchet MS" w:hAnsi="Trebuchet MS" w:cs="Trebuchet MS"/>
        <w:color w:val="003399"/>
        <w:sz w:val="16"/>
        <w:szCs w:val="16"/>
      </w:rPr>
      <w:br/>
      <w:t>Website - https://mfe.gov.ro/pnrr/</w:t>
    </w:r>
    <w:r>
      <w:rPr>
        <w:rFonts w:ascii="Trebuchet MS" w:eastAsia="Trebuchet MS" w:hAnsi="Trebuchet MS" w:cs="Trebuchet MS"/>
        <w:color w:val="003399"/>
        <w:sz w:val="16"/>
        <w:szCs w:val="16"/>
      </w:rPr>
      <w:tab/>
      <w:t xml:space="preserve">Facebook - </w:t>
    </w:r>
    <w:hyperlink r:id="rId1">
      <w:r>
        <w:rPr>
          <w:rFonts w:ascii="Trebuchet MS" w:eastAsia="Trebuchet MS" w:hAnsi="Trebuchet MS" w:cs="Trebuchet MS"/>
          <w:color w:val="003399"/>
          <w:sz w:val="16"/>
          <w:szCs w:val="16"/>
        </w:rPr>
        <w:t>https://www.facebook.com/PNRROficial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570D50" w14:textId="77777777" w:rsidR="008474FF" w:rsidRDefault="008474FF">
      <w:pPr>
        <w:spacing w:line="240" w:lineRule="auto"/>
      </w:pPr>
      <w:r>
        <w:separator/>
      </w:r>
    </w:p>
  </w:footnote>
  <w:footnote w:type="continuationSeparator" w:id="0">
    <w:p w14:paraId="54EC10A1" w14:textId="77777777" w:rsidR="008474FF" w:rsidRDefault="008474F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9D0"/>
    <w:rsid w:val="002F5074"/>
    <w:rsid w:val="004C76ED"/>
    <w:rsid w:val="008429D0"/>
    <w:rsid w:val="008474FF"/>
    <w:rsid w:val="0087761C"/>
    <w:rsid w:val="008A20DD"/>
    <w:rsid w:val="008B57DC"/>
    <w:rsid w:val="00A01E3B"/>
    <w:rsid w:val="00A31030"/>
    <w:rsid w:val="00C6552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2F167"/>
  <w15:docId w15:val="{4A725364-EF0B-4EC7-9187-7A1A99411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ro" w:eastAsia="ro-RO"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facebook.com/PNRROfici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384</Words>
  <Characters>2230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IrinaU</dc:creator>
  <cp:lastModifiedBy>RamonaC</cp:lastModifiedBy>
  <cp:revision>6</cp:revision>
  <dcterms:created xsi:type="dcterms:W3CDTF">2025-08-14T11:22:00Z</dcterms:created>
  <dcterms:modified xsi:type="dcterms:W3CDTF">2025-08-14T11:35:00Z</dcterms:modified>
</cp:coreProperties>
</file>